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D3" w:rsidRPr="00517955" w:rsidRDefault="003F67D3">
      <w:pPr>
        <w:jc w:val="center"/>
        <w:rPr>
          <w:b/>
          <w:sz w:val="21"/>
          <w:szCs w:val="21"/>
        </w:rPr>
      </w:pPr>
      <w:bookmarkStart w:id="0" w:name="_GoBack"/>
      <w:bookmarkEnd w:id="0"/>
    </w:p>
    <w:p w:rsidR="003F67D3" w:rsidRPr="00517955" w:rsidRDefault="003F67D3">
      <w:pPr>
        <w:jc w:val="center"/>
        <w:rPr>
          <w:b/>
          <w:sz w:val="21"/>
          <w:szCs w:val="21"/>
        </w:rPr>
      </w:pPr>
    </w:p>
    <w:p w:rsidR="003F67D3" w:rsidRPr="00517955" w:rsidRDefault="003F67D3">
      <w:pPr>
        <w:jc w:val="center"/>
        <w:rPr>
          <w:b/>
          <w:sz w:val="21"/>
          <w:szCs w:val="21"/>
        </w:rPr>
      </w:pPr>
    </w:p>
    <w:p w:rsidR="003F67D3" w:rsidRPr="00517955" w:rsidRDefault="003F67D3">
      <w:pPr>
        <w:jc w:val="center"/>
        <w:rPr>
          <w:b/>
          <w:sz w:val="21"/>
          <w:szCs w:val="21"/>
        </w:rPr>
      </w:pPr>
    </w:p>
    <w:p w:rsidR="003F67D3" w:rsidRPr="00517955" w:rsidRDefault="003F67D3">
      <w:pPr>
        <w:jc w:val="center"/>
        <w:rPr>
          <w:b/>
          <w:sz w:val="21"/>
          <w:szCs w:val="21"/>
        </w:rPr>
      </w:pPr>
    </w:p>
    <w:p w:rsidR="003F67D3" w:rsidRPr="00517955" w:rsidRDefault="003F67D3">
      <w:pPr>
        <w:jc w:val="center"/>
        <w:rPr>
          <w:b/>
          <w:sz w:val="21"/>
          <w:szCs w:val="21"/>
        </w:rPr>
      </w:pPr>
    </w:p>
    <w:p w:rsidR="003F67D3" w:rsidRPr="00517955" w:rsidRDefault="003F67D3">
      <w:pPr>
        <w:jc w:val="center"/>
        <w:rPr>
          <w:b/>
          <w:sz w:val="21"/>
          <w:szCs w:val="21"/>
        </w:rPr>
      </w:pPr>
    </w:p>
    <w:p w:rsidR="003F67D3" w:rsidRPr="00517955" w:rsidRDefault="003F67D3">
      <w:pPr>
        <w:jc w:val="center"/>
        <w:rPr>
          <w:b/>
          <w:sz w:val="21"/>
          <w:szCs w:val="21"/>
        </w:rPr>
      </w:pPr>
    </w:p>
    <w:p w:rsidR="003F67D3" w:rsidRPr="00517955" w:rsidRDefault="003F67D3">
      <w:pPr>
        <w:jc w:val="center"/>
        <w:rPr>
          <w:b/>
          <w:sz w:val="21"/>
          <w:szCs w:val="21"/>
        </w:rPr>
      </w:pPr>
    </w:p>
    <w:p w:rsidR="003F67D3" w:rsidRPr="00517955" w:rsidRDefault="003F67D3">
      <w:pPr>
        <w:jc w:val="center"/>
        <w:rPr>
          <w:b/>
          <w:sz w:val="21"/>
          <w:szCs w:val="21"/>
        </w:rPr>
      </w:pPr>
    </w:p>
    <w:p w:rsidR="003F67D3" w:rsidRPr="00517955" w:rsidRDefault="003F67D3">
      <w:pPr>
        <w:jc w:val="center"/>
        <w:rPr>
          <w:b/>
          <w:sz w:val="21"/>
          <w:szCs w:val="21"/>
        </w:rPr>
      </w:pPr>
    </w:p>
    <w:p w:rsidR="003F67D3" w:rsidRPr="00517955" w:rsidRDefault="003F67D3">
      <w:pPr>
        <w:jc w:val="center"/>
        <w:rPr>
          <w:b/>
          <w:sz w:val="21"/>
          <w:szCs w:val="21"/>
        </w:rPr>
      </w:pPr>
    </w:p>
    <w:p w:rsidR="003F67D3" w:rsidRPr="00517955" w:rsidRDefault="003F67D3">
      <w:pPr>
        <w:jc w:val="center"/>
        <w:rPr>
          <w:b/>
          <w:sz w:val="21"/>
          <w:szCs w:val="21"/>
        </w:rPr>
      </w:pPr>
    </w:p>
    <w:p w:rsidR="003F67D3" w:rsidRPr="00FF0167" w:rsidRDefault="003F67D3">
      <w:pPr>
        <w:jc w:val="center"/>
        <w:rPr>
          <w:b/>
        </w:rPr>
      </w:pPr>
    </w:p>
    <w:p w:rsidR="003F67D3" w:rsidRPr="00FF0167" w:rsidRDefault="003F67D3" w:rsidP="00A46DE1">
      <w:pPr>
        <w:jc w:val="center"/>
        <w:outlineLvl w:val="0"/>
        <w:rPr>
          <w:b/>
        </w:rPr>
      </w:pPr>
      <w:r w:rsidRPr="00FF0167">
        <w:rPr>
          <w:b/>
        </w:rPr>
        <w:t>B</w:t>
      </w:r>
      <w:r w:rsidR="00301E42" w:rsidRPr="00FF0167">
        <w:rPr>
          <w:b/>
        </w:rPr>
        <w:t xml:space="preserve">ORNEO </w:t>
      </w:r>
      <w:r w:rsidRPr="00FF0167">
        <w:rPr>
          <w:b/>
        </w:rPr>
        <w:t>O</w:t>
      </w:r>
      <w:r w:rsidR="00301E42" w:rsidRPr="00FF0167">
        <w:rPr>
          <w:b/>
        </w:rPr>
        <w:t>IL</w:t>
      </w:r>
      <w:r w:rsidRPr="00FF0167">
        <w:rPr>
          <w:b/>
        </w:rPr>
        <w:t xml:space="preserve"> B</w:t>
      </w:r>
      <w:r w:rsidR="00301E42" w:rsidRPr="00FF0167">
        <w:rPr>
          <w:b/>
        </w:rPr>
        <w:t>ERHAD</w:t>
      </w:r>
    </w:p>
    <w:p w:rsidR="003F67D3" w:rsidRPr="00517955" w:rsidRDefault="003F67D3">
      <w:pPr>
        <w:jc w:val="center"/>
        <w:rPr>
          <w:b/>
          <w:sz w:val="21"/>
          <w:szCs w:val="21"/>
        </w:rPr>
      </w:pPr>
    </w:p>
    <w:p w:rsidR="003F67D3" w:rsidRPr="00517955" w:rsidRDefault="003F67D3" w:rsidP="00A46DE1">
      <w:pPr>
        <w:jc w:val="center"/>
        <w:outlineLvl w:val="0"/>
        <w:rPr>
          <w:b/>
          <w:sz w:val="21"/>
          <w:szCs w:val="21"/>
        </w:rPr>
      </w:pPr>
      <w:r w:rsidRPr="00517955">
        <w:rPr>
          <w:b/>
          <w:sz w:val="21"/>
          <w:szCs w:val="21"/>
        </w:rPr>
        <w:t>Company No. 121919-H</w:t>
      </w:r>
    </w:p>
    <w:p w:rsidR="003F67D3" w:rsidRPr="00517955" w:rsidRDefault="003F67D3" w:rsidP="00A46DE1">
      <w:pPr>
        <w:jc w:val="center"/>
        <w:outlineLvl w:val="0"/>
        <w:rPr>
          <w:b/>
          <w:sz w:val="21"/>
          <w:szCs w:val="21"/>
        </w:rPr>
      </w:pPr>
      <w:r w:rsidRPr="00517955">
        <w:rPr>
          <w:b/>
          <w:sz w:val="21"/>
          <w:szCs w:val="21"/>
        </w:rPr>
        <w:t>(Incorporated in Malaysia)</w:t>
      </w:r>
    </w:p>
    <w:p w:rsidR="003F67D3" w:rsidRPr="00517955" w:rsidRDefault="003F67D3">
      <w:pPr>
        <w:jc w:val="center"/>
        <w:rPr>
          <w:sz w:val="21"/>
          <w:szCs w:val="21"/>
        </w:rPr>
      </w:pPr>
    </w:p>
    <w:p w:rsidR="003F67D3" w:rsidRPr="00517955" w:rsidRDefault="003F67D3">
      <w:pPr>
        <w:jc w:val="center"/>
        <w:rPr>
          <w:sz w:val="21"/>
          <w:szCs w:val="21"/>
        </w:rPr>
      </w:pPr>
    </w:p>
    <w:p w:rsidR="009A78D2" w:rsidRPr="00FF0167" w:rsidRDefault="00FF3BFE" w:rsidP="00A46DE1">
      <w:pPr>
        <w:jc w:val="center"/>
        <w:outlineLvl w:val="0"/>
        <w:rPr>
          <w:b/>
        </w:rPr>
      </w:pPr>
      <w:r w:rsidRPr="00FF0167">
        <w:rPr>
          <w:b/>
        </w:rPr>
        <w:t>Q</w:t>
      </w:r>
      <w:r w:rsidR="00301E42" w:rsidRPr="00FF0167">
        <w:rPr>
          <w:b/>
        </w:rPr>
        <w:t>UARTERLY</w:t>
      </w:r>
      <w:r w:rsidRPr="00FF0167">
        <w:rPr>
          <w:b/>
        </w:rPr>
        <w:t xml:space="preserve"> R</w:t>
      </w:r>
      <w:r w:rsidR="00301E42" w:rsidRPr="00FF0167">
        <w:rPr>
          <w:b/>
        </w:rPr>
        <w:t>EPORT</w:t>
      </w:r>
      <w:r w:rsidRPr="00FF0167">
        <w:rPr>
          <w:b/>
        </w:rPr>
        <w:t xml:space="preserve"> O</w:t>
      </w:r>
      <w:r w:rsidR="00301E42" w:rsidRPr="00FF0167">
        <w:rPr>
          <w:b/>
        </w:rPr>
        <w:t>N</w:t>
      </w:r>
      <w:r w:rsidRPr="00FF0167">
        <w:rPr>
          <w:b/>
        </w:rPr>
        <w:t xml:space="preserve"> C</w:t>
      </w:r>
      <w:r w:rsidR="00301E42" w:rsidRPr="00FF0167">
        <w:rPr>
          <w:b/>
        </w:rPr>
        <w:t>ONSOLIDATED</w:t>
      </w:r>
      <w:r w:rsidRPr="00FF0167">
        <w:rPr>
          <w:b/>
        </w:rPr>
        <w:t xml:space="preserve"> R</w:t>
      </w:r>
      <w:r w:rsidR="00301E42" w:rsidRPr="00FF0167">
        <w:rPr>
          <w:b/>
        </w:rPr>
        <w:t>ESULTS</w:t>
      </w:r>
    </w:p>
    <w:p w:rsidR="00FF3BFE" w:rsidRPr="00FF0167" w:rsidRDefault="00FF3BFE" w:rsidP="00A46DE1">
      <w:pPr>
        <w:jc w:val="center"/>
        <w:outlineLvl w:val="0"/>
        <w:rPr>
          <w:b/>
        </w:rPr>
      </w:pPr>
      <w:r w:rsidRPr="00FF0167">
        <w:rPr>
          <w:b/>
        </w:rPr>
        <w:t>F</w:t>
      </w:r>
      <w:r w:rsidR="00301E42" w:rsidRPr="00FF0167">
        <w:rPr>
          <w:b/>
        </w:rPr>
        <w:t xml:space="preserve">OR </w:t>
      </w:r>
      <w:r w:rsidRPr="00FF0167">
        <w:rPr>
          <w:b/>
        </w:rPr>
        <w:t xml:space="preserve"> T</w:t>
      </w:r>
      <w:r w:rsidR="00301E42" w:rsidRPr="00FF0167">
        <w:rPr>
          <w:b/>
        </w:rPr>
        <w:t>HE</w:t>
      </w:r>
      <w:r w:rsidR="001B7563">
        <w:rPr>
          <w:b/>
        </w:rPr>
        <w:t>SECOND</w:t>
      </w:r>
      <w:r w:rsidRPr="00FF0167">
        <w:rPr>
          <w:b/>
        </w:rPr>
        <w:t xml:space="preserve"> Q</w:t>
      </w:r>
      <w:r w:rsidR="00301E42" w:rsidRPr="00FF0167">
        <w:rPr>
          <w:b/>
        </w:rPr>
        <w:t>UARTER</w:t>
      </w:r>
      <w:r w:rsidRPr="00FF0167">
        <w:rPr>
          <w:b/>
        </w:rPr>
        <w:t xml:space="preserve"> E</w:t>
      </w:r>
      <w:r w:rsidR="00301E42" w:rsidRPr="00FF0167">
        <w:rPr>
          <w:b/>
        </w:rPr>
        <w:t>NDED</w:t>
      </w:r>
    </w:p>
    <w:p w:rsidR="003F67D3" w:rsidRPr="00FF0167" w:rsidRDefault="00C71BD5" w:rsidP="00A46DE1">
      <w:pPr>
        <w:jc w:val="center"/>
        <w:outlineLvl w:val="0"/>
      </w:pPr>
      <w:r w:rsidRPr="00FF0167">
        <w:rPr>
          <w:b/>
        </w:rPr>
        <w:t>3</w:t>
      </w:r>
      <w:r w:rsidR="00E3364F">
        <w:rPr>
          <w:b/>
        </w:rPr>
        <w:t>1 JULY</w:t>
      </w:r>
      <w:r w:rsidR="003F67D3" w:rsidRPr="00FF0167">
        <w:rPr>
          <w:b/>
        </w:rPr>
        <w:t xml:space="preserve"> 201</w:t>
      </w:r>
      <w:r w:rsidR="00FF41C5">
        <w:rPr>
          <w:b/>
        </w:rPr>
        <w:t>4</w:t>
      </w:r>
    </w:p>
    <w:p w:rsidR="00FF3BFE" w:rsidRPr="00517955" w:rsidRDefault="00FF3BFE">
      <w:pPr>
        <w:jc w:val="center"/>
        <w:rPr>
          <w:b/>
          <w:sz w:val="21"/>
          <w:szCs w:val="21"/>
        </w:rPr>
      </w:pPr>
    </w:p>
    <w:p w:rsidR="003F67D3" w:rsidRPr="00094F95" w:rsidRDefault="00FF3BFE">
      <w:pPr>
        <w:jc w:val="center"/>
        <w:rPr>
          <w:b/>
          <w:sz w:val="20"/>
          <w:szCs w:val="20"/>
        </w:rPr>
      </w:pPr>
      <w:r w:rsidRPr="00094F95">
        <w:rPr>
          <w:b/>
          <w:sz w:val="20"/>
          <w:szCs w:val="20"/>
        </w:rPr>
        <w:t>(T</w:t>
      </w:r>
      <w:r w:rsidR="00094F95" w:rsidRPr="00094F95">
        <w:rPr>
          <w:b/>
          <w:sz w:val="20"/>
          <w:szCs w:val="20"/>
        </w:rPr>
        <w:t>HE FIGU</w:t>
      </w:r>
      <w:r w:rsidR="00094F95">
        <w:rPr>
          <w:b/>
          <w:sz w:val="20"/>
          <w:szCs w:val="20"/>
        </w:rPr>
        <w:t>R</w:t>
      </w:r>
      <w:r w:rsidR="00094F95" w:rsidRPr="00094F95">
        <w:rPr>
          <w:b/>
          <w:sz w:val="20"/>
          <w:szCs w:val="20"/>
        </w:rPr>
        <w:t>ES HAVE NOT BEEN AUDITED</w:t>
      </w:r>
      <w:r w:rsidRPr="00094F95">
        <w:rPr>
          <w:b/>
          <w:sz w:val="20"/>
          <w:szCs w:val="20"/>
        </w:rPr>
        <w:t>)</w:t>
      </w:r>
    </w:p>
    <w:p w:rsidR="003F67D3" w:rsidRPr="00517955" w:rsidRDefault="003F67D3">
      <w:pPr>
        <w:jc w:val="center"/>
        <w:rPr>
          <w:sz w:val="21"/>
          <w:szCs w:val="21"/>
        </w:rPr>
      </w:pPr>
    </w:p>
    <w:p w:rsidR="003F67D3" w:rsidRPr="00517955" w:rsidRDefault="003F67D3">
      <w:pPr>
        <w:jc w:val="center"/>
        <w:rPr>
          <w:sz w:val="21"/>
          <w:szCs w:val="21"/>
        </w:rPr>
      </w:pPr>
    </w:p>
    <w:p w:rsidR="003F67D3" w:rsidRPr="00517955" w:rsidRDefault="003F67D3">
      <w:pPr>
        <w:jc w:val="center"/>
        <w:rPr>
          <w:sz w:val="21"/>
          <w:szCs w:val="21"/>
        </w:rPr>
      </w:pPr>
    </w:p>
    <w:p w:rsidR="003F67D3" w:rsidRPr="00517955" w:rsidRDefault="003F67D3">
      <w:pPr>
        <w:jc w:val="center"/>
        <w:rPr>
          <w:sz w:val="21"/>
          <w:szCs w:val="21"/>
        </w:rPr>
      </w:pPr>
    </w:p>
    <w:p w:rsidR="003F67D3" w:rsidRPr="00517955" w:rsidRDefault="003F67D3">
      <w:pPr>
        <w:jc w:val="center"/>
        <w:rPr>
          <w:sz w:val="21"/>
          <w:szCs w:val="21"/>
        </w:rPr>
      </w:pPr>
    </w:p>
    <w:p w:rsidR="003F67D3" w:rsidRPr="00517955" w:rsidRDefault="003F67D3">
      <w:pPr>
        <w:jc w:val="center"/>
        <w:rPr>
          <w:sz w:val="21"/>
          <w:szCs w:val="21"/>
        </w:rPr>
      </w:pPr>
    </w:p>
    <w:p w:rsidR="003F67D3" w:rsidRPr="00517955" w:rsidRDefault="003F67D3">
      <w:pPr>
        <w:jc w:val="center"/>
        <w:rPr>
          <w:sz w:val="21"/>
          <w:szCs w:val="21"/>
        </w:rPr>
      </w:pPr>
    </w:p>
    <w:p w:rsidR="003F67D3" w:rsidRPr="00517955" w:rsidRDefault="003F67D3">
      <w:pPr>
        <w:jc w:val="center"/>
        <w:rPr>
          <w:sz w:val="21"/>
          <w:szCs w:val="21"/>
        </w:rPr>
      </w:pPr>
    </w:p>
    <w:p w:rsidR="003F67D3" w:rsidRPr="00517955" w:rsidRDefault="003F67D3">
      <w:pPr>
        <w:jc w:val="center"/>
        <w:rPr>
          <w:sz w:val="21"/>
          <w:szCs w:val="21"/>
        </w:rPr>
      </w:pPr>
    </w:p>
    <w:p w:rsidR="003F67D3" w:rsidRPr="00517955" w:rsidRDefault="003F67D3">
      <w:pPr>
        <w:jc w:val="center"/>
        <w:rPr>
          <w:sz w:val="21"/>
          <w:szCs w:val="21"/>
        </w:rPr>
      </w:pPr>
    </w:p>
    <w:p w:rsidR="003F67D3" w:rsidRPr="00517955" w:rsidRDefault="003F67D3">
      <w:pPr>
        <w:jc w:val="center"/>
        <w:rPr>
          <w:sz w:val="21"/>
          <w:szCs w:val="21"/>
        </w:rPr>
      </w:pPr>
    </w:p>
    <w:p w:rsidR="003F67D3" w:rsidRPr="00517955" w:rsidRDefault="003F67D3">
      <w:pPr>
        <w:jc w:val="center"/>
        <w:rPr>
          <w:sz w:val="21"/>
          <w:szCs w:val="21"/>
        </w:rPr>
      </w:pPr>
    </w:p>
    <w:p w:rsidR="003F67D3" w:rsidRPr="00517955" w:rsidRDefault="003F67D3">
      <w:pPr>
        <w:rPr>
          <w:sz w:val="21"/>
          <w:szCs w:val="21"/>
        </w:rPr>
        <w:sectPr w:rsidR="003F67D3" w:rsidRPr="00517955">
          <w:footerReference w:type="default" r:id="rId8"/>
          <w:pgSz w:w="11909" w:h="16834" w:code="9"/>
          <w:pgMar w:top="720" w:right="1440" w:bottom="576" w:left="1440" w:header="720" w:footer="576" w:gutter="0"/>
          <w:cols w:space="720"/>
        </w:sectPr>
      </w:pPr>
    </w:p>
    <w:p w:rsidR="00E85DBD" w:rsidRPr="00D34293" w:rsidRDefault="00E85DBD" w:rsidP="00A46DE1">
      <w:pPr>
        <w:outlineLvl w:val="0"/>
        <w:rPr>
          <w:b/>
          <w:color w:val="000000"/>
          <w:sz w:val="22"/>
          <w:szCs w:val="22"/>
        </w:rPr>
      </w:pPr>
      <w:r w:rsidRPr="00D34293">
        <w:rPr>
          <w:b/>
          <w:color w:val="000000"/>
          <w:sz w:val="22"/>
          <w:szCs w:val="22"/>
        </w:rPr>
        <w:lastRenderedPageBreak/>
        <w:t>B</w:t>
      </w:r>
      <w:r w:rsidR="009D67EE" w:rsidRPr="00D34293">
        <w:rPr>
          <w:b/>
          <w:color w:val="000000"/>
          <w:sz w:val="22"/>
          <w:szCs w:val="22"/>
        </w:rPr>
        <w:t>ORNEO OIL BERHAD</w:t>
      </w:r>
    </w:p>
    <w:p w:rsidR="00E85DBD" w:rsidRPr="00D34293" w:rsidRDefault="00E85DBD">
      <w:pPr>
        <w:rPr>
          <w:i/>
          <w:color w:val="000000"/>
          <w:sz w:val="22"/>
          <w:szCs w:val="22"/>
        </w:rPr>
      </w:pPr>
      <w:r w:rsidRPr="00D34293">
        <w:rPr>
          <w:i/>
          <w:color w:val="000000"/>
          <w:sz w:val="22"/>
          <w:szCs w:val="22"/>
        </w:rPr>
        <w:t>(Company No. 121919-H)</w:t>
      </w:r>
    </w:p>
    <w:p w:rsidR="009D67EE" w:rsidRPr="00D34293" w:rsidRDefault="009D67EE" w:rsidP="00A46DE1">
      <w:pPr>
        <w:outlineLvl w:val="0"/>
        <w:rPr>
          <w:b/>
          <w:color w:val="000000"/>
          <w:sz w:val="22"/>
          <w:szCs w:val="22"/>
        </w:rPr>
      </w:pPr>
      <w:r w:rsidRPr="00D34293">
        <w:rPr>
          <w:b/>
          <w:color w:val="000000"/>
          <w:sz w:val="22"/>
          <w:szCs w:val="22"/>
        </w:rPr>
        <w:t>Incorporated in Malaysia</w:t>
      </w:r>
    </w:p>
    <w:p w:rsidR="009D67EE" w:rsidRPr="00D34293" w:rsidRDefault="009D67EE" w:rsidP="00A46DE1">
      <w:pPr>
        <w:outlineLvl w:val="0"/>
        <w:rPr>
          <w:b/>
          <w:color w:val="000000"/>
          <w:sz w:val="22"/>
          <w:szCs w:val="22"/>
        </w:rPr>
      </w:pPr>
      <w:r w:rsidRPr="00D34293">
        <w:rPr>
          <w:b/>
          <w:color w:val="000000"/>
          <w:sz w:val="22"/>
          <w:szCs w:val="22"/>
        </w:rPr>
        <w:t>QUARTERLY REPORT ON CONSOLIDATED RESULTS</w:t>
      </w:r>
    </w:p>
    <w:p w:rsidR="009D67EE" w:rsidRPr="00D34293" w:rsidRDefault="00C757F3" w:rsidP="00A46DE1">
      <w:pPr>
        <w:outlineLvl w:val="0"/>
        <w:rPr>
          <w:b/>
          <w:color w:val="000000"/>
          <w:sz w:val="22"/>
          <w:szCs w:val="22"/>
        </w:rPr>
      </w:pPr>
      <w:r>
        <w:rPr>
          <w:b/>
          <w:color w:val="000000"/>
          <w:sz w:val="22"/>
          <w:szCs w:val="22"/>
        </w:rPr>
        <w:t xml:space="preserve">FOR THE </w:t>
      </w:r>
      <w:r w:rsidR="005A7524">
        <w:rPr>
          <w:b/>
          <w:color w:val="000000"/>
          <w:sz w:val="22"/>
          <w:szCs w:val="22"/>
        </w:rPr>
        <w:t>SECOND</w:t>
      </w:r>
      <w:r w:rsidR="009D67EE" w:rsidRPr="00D34293">
        <w:rPr>
          <w:b/>
          <w:color w:val="000000"/>
          <w:sz w:val="22"/>
          <w:szCs w:val="22"/>
        </w:rPr>
        <w:t xml:space="preserve"> QUARTER ENDED 3</w:t>
      </w:r>
      <w:r w:rsidR="005A7524">
        <w:rPr>
          <w:b/>
          <w:color w:val="000000"/>
          <w:sz w:val="22"/>
          <w:szCs w:val="22"/>
        </w:rPr>
        <w:t>1 JULY</w:t>
      </w:r>
      <w:r w:rsidR="00515825">
        <w:rPr>
          <w:b/>
          <w:color w:val="000000"/>
          <w:sz w:val="22"/>
          <w:szCs w:val="22"/>
        </w:rPr>
        <w:t xml:space="preserve"> 201</w:t>
      </w:r>
      <w:r w:rsidR="00FF41C5">
        <w:rPr>
          <w:b/>
          <w:color w:val="000000"/>
          <w:sz w:val="22"/>
          <w:szCs w:val="22"/>
        </w:rPr>
        <w:t>4</w:t>
      </w:r>
    </w:p>
    <w:p w:rsidR="009D67EE" w:rsidRPr="00D34293" w:rsidRDefault="009D67EE" w:rsidP="009D67EE">
      <w:pPr>
        <w:numPr>
          <w:ilvl w:val="0"/>
          <w:numId w:val="31"/>
        </w:numPr>
        <w:rPr>
          <w:b/>
          <w:color w:val="000000"/>
          <w:sz w:val="20"/>
          <w:szCs w:val="20"/>
        </w:rPr>
      </w:pPr>
      <w:r w:rsidRPr="00D34293">
        <w:rPr>
          <w:b/>
          <w:color w:val="000000"/>
          <w:sz w:val="20"/>
          <w:szCs w:val="20"/>
        </w:rPr>
        <w:t>THE FIGURES HAVE NOT BEEN AUDITED</w:t>
      </w:r>
    </w:p>
    <w:p w:rsidR="009D67EE" w:rsidRPr="00D34293" w:rsidRDefault="009D67EE">
      <w:pPr>
        <w:rPr>
          <w:b/>
          <w:color w:val="000000"/>
          <w:sz w:val="22"/>
          <w:szCs w:val="22"/>
        </w:rPr>
      </w:pPr>
    </w:p>
    <w:p w:rsidR="003F67D3" w:rsidRPr="00D34293" w:rsidRDefault="003F67D3" w:rsidP="00A46DE1">
      <w:pPr>
        <w:outlineLvl w:val="0"/>
        <w:rPr>
          <w:b/>
          <w:color w:val="000000"/>
          <w:sz w:val="22"/>
          <w:szCs w:val="22"/>
        </w:rPr>
      </w:pPr>
      <w:r w:rsidRPr="00D34293">
        <w:rPr>
          <w:b/>
          <w:color w:val="000000"/>
          <w:sz w:val="22"/>
          <w:szCs w:val="22"/>
        </w:rPr>
        <w:t>C</w:t>
      </w:r>
      <w:r w:rsidR="009D67EE" w:rsidRPr="00D34293">
        <w:rPr>
          <w:b/>
          <w:color w:val="000000"/>
          <w:sz w:val="22"/>
          <w:szCs w:val="22"/>
        </w:rPr>
        <w:t>ONDENSED</w:t>
      </w:r>
      <w:r w:rsidRPr="00D34293">
        <w:rPr>
          <w:b/>
          <w:color w:val="000000"/>
          <w:sz w:val="22"/>
          <w:szCs w:val="22"/>
        </w:rPr>
        <w:t xml:space="preserve"> C</w:t>
      </w:r>
      <w:r w:rsidR="009D67EE" w:rsidRPr="00D34293">
        <w:rPr>
          <w:b/>
          <w:color w:val="000000"/>
          <w:sz w:val="22"/>
          <w:szCs w:val="22"/>
        </w:rPr>
        <w:t>ONSOLIDATED</w:t>
      </w:r>
      <w:r w:rsidRPr="00D34293">
        <w:rPr>
          <w:b/>
          <w:color w:val="000000"/>
          <w:sz w:val="22"/>
          <w:szCs w:val="22"/>
        </w:rPr>
        <w:t xml:space="preserve"> S</w:t>
      </w:r>
      <w:r w:rsidR="003D27BE" w:rsidRPr="00D34293">
        <w:rPr>
          <w:b/>
          <w:color w:val="000000"/>
          <w:sz w:val="22"/>
          <w:szCs w:val="22"/>
        </w:rPr>
        <w:t>T</w:t>
      </w:r>
      <w:r w:rsidR="009D67EE" w:rsidRPr="00D34293">
        <w:rPr>
          <w:b/>
          <w:color w:val="000000"/>
          <w:sz w:val="22"/>
          <w:szCs w:val="22"/>
        </w:rPr>
        <w:t xml:space="preserve">ATEMENT OF </w:t>
      </w:r>
      <w:r w:rsidR="00FF3BFE" w:rsidRPr="00D34293">
        <w:rPr>
          <w:b/>
          <w:color w:val="000000"/>
          <w:sz w:val="22"/>
          <w:szCs w:val="22"/>
        </w:rPr>
        <w:t>C</w:t>
      </w:r>
      <w:r w:rsidR="009D67EE" w:rsidRPr="00D34293">
        <w:rPr>
          <w:b/>
          <w:color w:val="000000"/>
          <w:sz w:val="22"/>
          <w:szCs w:val="22"/>
        </w:rPr>
        <w:t>OMPREHENSIVE INCOME</w:t>
      </w:r>
    </w:p>
    <w:p w:rsidR="003F67D3" w:rsidRPr="00517955" w:rsidRDefault="003F67D3">
      <w:pPr>
        <w:rPr>
          <w:b/>
          <w:color w:val="000000"/>
          <w:sz w:val="21"/>
          <w:szCs w:val="21"/>
        </w:rPr>
      </w:pPr>
    </w:p>
    <w:p w:rsidR="003F67D3" w:rsidRPr="00517955" w:rsidRDefault="003F67D3">
      <w:pPr>
        <w:rPr>
          <w:b/>
          <w:color w:val="000000"/>
          <w:sz w:val="21"/>
          <w:szCs w:val="21"/>
        </w:rPr>
      </w:pPr>
    </w:p>
    <w:p w:rsidR="003F67D3" w:rsidRPr="00517955" w:rsidRDefault="005F5414">
      <w:pPr>
        <w:rPr>
          <w:b/>
          <w:color w:val="000000"/>
          <w:sz w:val="21"/>
          <w:szCs w:val="21"/>
        </w:rPr>
      </w:pPr>
      <w:r w:rsidRPr="00517955">
        <w:rPr>
          <w:b/>
          <w:color w:val="000000"/>
          <w:sz w:val="21"/>
          <w:szCs w:val="21"/>
        </w:rPr>
        <w:object w:dxaOrig="9843" w:dyaOrig="10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550.5pt" o:ole="">
            <v:imagedata r:id="rId9" o:title=""/>
          </v:shape>
          <o:OLEObject Type="Embed" ProgID="Excel.Sheet.12" ShapeID="_x0000_i1025" DrawAspect="Content" ObjectID="_1473602794" r:id="rId10"/>
        </w:object>
      </w:r>
    </w:p>
    <w:tbl>
      <w:tblPr>
        <w:tblW w:w="15776" w:type="dxa"/>
        <w:tblInd w:w="18" w:type="dxa"/>
        <w:tblLayout w:type="fixed"/>
        <w:tblLook w:val="0000"/>
      </w:tblPr>
      <w:tblGrid>
        <w:gridCol w:w="9450"/>
        <w:gridCol w:w="270"/>
        <w:gridCol w:w="1710"/>
        <w:gridCol w:w="1440"/>
        <w:gridCol w:w="1440"/>
        <w:gridCol w:w="1440"/>
        <w:gridCol w:w="26"/>
      </w:tblGrid>
      <w:tr w:rsidR="003F67D3" w:rsidRPr="00517955" w:rsidTr="0027508E">
        <w:trPr>
          <w:gridAfter w:val="1"/>
          <w:wAfter w:w="26" w:type="dxa"/>
          <w:cantSplit/>
        </w:trPr>
        <w:tc>
          <w:tcPr>
            <w:tcW w:w="9450" w:type="dxa"/>
          </w:tcPr>
          <w:p w:rsidR="003F67D3" w:rsidRPr="00517955" w:rsidRDefault="003F67D3" w:rsidP="003325F9">
            <w:pPr>
              <w:ind w:right="-6408"/>
              <w:jc w:val="center"/>
              <w:rPr>
                <w:b/>
                <w:color w:val="000000"/>
                <w:sz w:val="21"/>
                <w:szCs w:val="21"/>
              </w:rPr>
            </w:pPr>
          </w:p>
        </w:tc>
        <w:tc>
          <w:tcPr>
            <w:tcW w:w="270" w:type="dxa"/>
          </w:tcPr>
          <w:p w:rsidR="003F67D3" w:rsidRPr="00517955" w:rsidRDefault="003F67D3">
            <w:pPr>
              <w:ind w:left="-108" w:right="-108"/>
              <w:jc w:val="center"/>
              <w:rPr>
                <w:b/>
                <w:color w:val="000000"/>
                <w:sz w:val="21"/>
                <w:szCs w:val="21"/>
              </w:rPr>
            </w:pPr>
          </w:p>
        </w:tc>
        <w:tc>
          <w:tcPr>
            <w:tcW w:w="3150" w:type="dxa"/>
            <w:gridSpan w:val="2"/>
          </w:tcPr>
          <w:p w:rsidR="003F67D3" w:rsidRPr="00517955" w:rsidRDefault="003F67D3">
            <w:pPr>
              <w:ind w:left="-108" w:right="-108"/>
              <w:jc w:val="center"/>
              <w:rPr>
                <w:b/>
                <w:color w:val="000000"/>
                <w:sz w:val="21"/>
                <w:szCs w:val="21"/>
              </w:rPr>
            </w:pPr>
          </w:p>
        </w:tc>
        <w:tc>
          <w:tcPr>
            <w:tcW w:w="2880" w:type="dxa"/>
            <w:gridSpan w:val="2"/>
          </w:tcPr>
          <w:p w:rsidR="003F67D3" w:rsidRPr="00517955" w:rsidRDefault="003F67D3">
            <w:pPr>
              <w:jc w:val="center"/>
              <w:rPr>
                <w:b/>
                <w:color w:val="000000"/>
                <w:sz w:val="21"/>
                <w:szCs w:val="21"/>
              </w:rPr>
            </w:pPr>
          </w:p>
        </w:tc>
      </w:tr>
      <w:tr w:rsidR="003F67D3" w:rsidRPr="00517955" w:rsidTr="0027508E">
        <w:tc>
          <w:tcPr>
            <w:tcW w:w="9450" w:type="dxa"/>
          </w:tcPr>
          <w:p w:rsidR="003F67D3" w:rsidRPr="00517955" w:rsidRDefault="003F67D3">
            <w:pPr>
              <w:jc w:val="center"/>
              <w:rPr>
                <w:b/>
                <w:color w:val="000000"/>
                <w:sz w:val="21"/>
                <w:szCs w:val="21"/>
              </w:rPr>
            </w:pPr>
          </w:p>
        </w:tc>
        <w:tc>
          <w:tcPr>
            <w:tcW w:w="270" w:type="dxa"/>
          </w:tcPr>
          <w:p w:rsidR="003F67D3" w:rsidRPr="00517955" w:rsidRDefault="003F67D3">
            <w:pPr>
              <w:pStyle w:val="BodyText3"/>
              <w:ind w:left="-108" w:right="-108"/>
              <w:rPr>
                <w:color w:val="000000"/>
                <w:sz w:val="21"/>
                <w:szCs w:val="21"/>
              </w:rPr>
            </w:pPr>
          </w:p>
        </w:tc>
        <w:tc>
          <w:tcPr>
            <w:tcW w:w="1710" w:type="dxa"/>
          </w:tcPr>
          <w:p w:rsidR="003F67D3" w:rsidRPr="00517955" w:rsidRDefault="003F67D3" w:rsidP="000B5F8B">
            <w:pPr>
              <w:jc w:val="right"/>
              <w:rPr>
                <w:b/>
                <w:color w:val="000000"/>
                <w:sz w:val="21"/>
                <w:szCs w:val="21"/>
                <w:lang w:val="en-GB"/>
              </w:rPr>
            </w:pPr>
          </w:p>
        </w:tc>
        <w:tc>
          <w:tcPr>
            <w:tcW w:w="1440" w:type="dxa"/>
          </w:tcPr>
          <w:p w:rsidR="003F67D3" w:rsidRPr="00517955" w:rsidRDefault="003F67D3">
            <w:pPr>
              <w:jc w:val="right"/>
              <w:rPr>
                <w:color w:val="000000"/>
                <w:sz w:val="21"/>
                <w:szCs w:val="21"/>
                <w:lang w:val="en-GB"/>
              </w:rPr>
            </w:pPr>
          </w:p>
        </w:tc>
        <w:tc>
          <w:tcPr>
            <w:tcW w:w="1440" w:type="dxa"/>
          </w:tcPr>
          <w:p w:rsidR="00A534E5" w:rsidRPr="00517955" w:rsidRDefault="00A534E5" w:rsidP="00A534E5">
            <w:pPr>
              <w:rPr>
                <w:b/>
                <w:color w:val="000000"/>
                <w:sz w:val="21"/>
                <w:szCs w:val="21"/>
                <w:lang w:val="en-GB"/>
              </w:rPr>
            </w:pPr>
          </w:p>
        </w:tc>
        <w:tc>
          <w:tcPr>
            <w:tcW w:w="1466" w:type="dxa"/>
            <w:gridSpan w:val="2"/>
          </w:tcPr>
          <w:p w:rsidR="003F67D3" w:rsidRPr="00517955" w:rsidRDefault="003F67D3">
            <w:pPr>
              <w:pStyle w:val="Heading7"/>
              <w:ind w:right="72"/>
              <w:jc w:val="right"/>
              <w:rPr>
                <w:color w:val="000000"/>
                <w:sz w:val="21"/>
                <w:szCs w:val="21"/>
              </w:rPr>
            </w:pPr>
          </w:p>
        </w:tc>
      </w:tr>
      <w:tr w:rsidR="003F67D3" w:rsidRPr="00517955" w:rsidTr="0027508E">
        <w:tc>
          <w:tcPr>
            <w:tcW w:w="9450" w:type="dxa"/>
          </w:tcPr>
          <w:p w:rsidR="003F67D3" w:rsidRPr="00517955" w:rsidRDefault="003F67D3">
            <w:pPr>
              <w:jc w:val="both"/>
              <w:rPr>
                <w:color w:val="000000"/>
                <w:sz w:val="19"/>
                <w:szCs w:val="19"/>
              </w:rPr>
            </w:pPr>
          </w:p>
        </w:tc>
        <w:tc>
          <w:tcPr>
            <w:tcW w:w="270" w:type="dxa"/>
          </w:tcPr>
          <w:p w:rsidR="003F67D3" w:rsidRPr="00517955" w:rsidRDefault="003F67D3">
            <w:pPr>
              <w:ind w:left="-108" w:right="-108"/>
              <w:jc w:val="center"/>
              <w:rPr>
                <w:color w:val="000000"/>
                <w:sz w:val="19"/>
                <w:szCs w:val="19"/>
              </w:rPr>
            </w:pPr>
          </w:p>
        </w:tc>
        <w:tc>
          <w:tcPr>
            <w:tcW w:w="1710" w:type="dxa"/>
            <w:vAlign w:val="bottom"/>
          </w:tcPr>
          <w:p w:rsidR="003F67D3" w:rsidRPr="00517955" w:rsidRDefault="003F67D3" w:rsidP="001A1DE4">
            <w:pPr>
              <w:jc w:val="center"/>
              <w:rPr>
                <w:rFonts w:eastAsia="Arial Unicode MS"/>
                <w:color w:val="000000"/>
                <w:sz w:val="19"/>
                <w:szCs w:val="19"/>
              </w:rPr>
            </w:pPr>
          </w:p>
        </w:tc>
        <w:tc>
          <w:tcPr>
            <w:tcW w:w="1440" w:type="dxa"/>
            <w:vAlign w:val="bottom"/>
          </w:tcPr>
          <w:p w:rsidR="003F67D3" w:rsidRPr="00517955" w:rsidRDefault="003F67D3" w:rsidP="00CD5F08">
            <w:pPr>
              <w:jc w:val="right"/>
              <w:rPr>
                <w:rFonts w:eastAsia="Arial Unicode MS"/>
                <w:color w:val="000000"/>
                <w:sz w:val="19"/>
                <w:szCs w:val="19"/>
              </w:rPr>
            </w:pPr>
          </w:p>
        </w:tc>
        <w:tc>
          <w:tcPr>
            <w:tcW w:w="1440" w:type="dxa"/>
            <w:vAlign w:val="bottom"/>
          </w:tcPr>
          <w:p w:rsidR="003F67D3" w:rsidRPr="00517955" w:rsidRDefault="003F67D3" w:rsidP="00A51D3D">
            <w:pPr>
              <w:jc w:val="right"/>
              <w:rPr>
                <w:rFonts w:eastAsia="Arial Unicode MS"/>
                <w:color w:val="000000"/>
                <w:sz w:val="19"/>
                <w:szCs w:val="19"/>
              </w:rPr>
            </w:pPr>
          </w:p>
        </w:tc>
        <w:tc>
          <w:tcPr>
            <w:tcW w:w="1466" w:type="dxa"/>
            <w:gridSpan w:val="2"/>
            <w:vAlign w:val="bottom"/>
          </w:tcPr>
          <w:p w:rsidR="003F67D3" w:rsidRPr="00517955" w:rsidRDefault="003F67D3">
            <w:pPr>
              <w:jc w:val="right"/>
              <w:rPr>
                <w:rFonts w:eastAsia="Arial Unicode MS"/>
                <w:color w:val="000000"/>
                <w:sz w:val="19"/>
                <w:szCs w:val="19"/>
              </w:rPr>
            </w:pPr>
          </w:p>
        </w:tc>
      </w:tr>
      <w:tr w:rsidR="003F67D3" w:rsidRPr="00517955" w:rsidTr="0027508E">
        <w:trPr>
          <w:trHeight w:val="333"/>
        </w:trPr>
        <w:tc>
          <w:tcPr>
            <w:tcW w:w="9450" w:type="dxa"/>
          </w:tcPr>
          <w:p w:rsidR="00DD3C30" w:rsidRPr="00517955" w:rsidRDefault="00DD3C30" w:rsidP="00EB0081">
            <w:pPr>
              <w:jc w:val="both"/>
              <w:rPr>
                <w:color w:val="000000"/>
                <w:sz w:val="19"/>
                <w:szCs w:val="19"/>
              </w:rPr>
            </w:pPr>
          </w:p>
        </w:tc>
        <w:tc>
          <w:tcPr>
            <w:tcW w:w="270" w:type="dxa"/>
          </w:tcPr>
          <w:p w:rsidR="003F67D3" w:rsidRPr="00517955" w:rsidRDefault="003F67D3">
            <w:pPr>
              <w:ind w:left="-108" w:right="-108"/>
              <w:jc w:val="center"/>
              <w:rPr>
                <w:color w:val="000000"/>
                <w:sz w:val="19"/>
                <w:szCs w:val="19"/>
              </w:rPr>
            </w:pPr>
          </w:p>
        </w:tc>
        <w:tc>
          <w:tcPr>
            <w:tcW w:w="1710" w:type="dxa"/>
            <w:vAlign w:val="bottom"/>
          </w:tcPr>
          <w:p w:rsidR="003F67D3" w:rsidRPr="00517955" w:rsidRDefault="003F67D3" w:rsidP="00316CD0">
            <w:pPr>
              <w:jc w:val="center"/>
              <w:rPr>
                <w:rFonts w:eastAsia="Arial Unicode MS"/>
                <w:color w:val="000000"/>
                <w:sz w:val="19"/>
                <w:szCs w:val="19"/>
              </w:rPr>
            </w:pPr>
          </w:p>
        </w:tc>
        <w:tc>
          <w:tcPr>
            <w:tcW w:w="1440" w:type="dxa"/>
            <w:vAlign w:val="bottom"/>
          </w:tcPr>
          <w:p w:rsidR="008D5977" w:rsidRPr="00517955" w:rsidRDefault="008D5977" w:rsidP="008D5977">
            <w:pPr>
              <w:jc w:val="right"/>
              <w:rPr>
                <w:rFonts w:eastAsia="Arial Unicode MS"/>
                <w:color w:val="000000"/>
                <w:sz w:val="19"/>
                <w:szCs w:val="19"/>
              </w:rPr>
            </w:pPr>
          </w:p>
        </w:tc>
        <w:tc>
          <w:tcPr>
            <w:tcW w:w="1440" w:type="dxa"/>
            <w:vAlign w:val="bottom"/>
          </w:tcPr>
          <w:p w:rsidR="003F67D3" w:rsidRPr="00517955" w:rsidRDefault="003F67D3" w:rsidP="008D3B6A">
            <w:pPr>
              <w:jc w:val="right"/>
              <w:rPr>
                <w:rFonts w:eastAsia="Arial Unicode MS"/>
                <w:color w:val="000000"/>
                <w:sz w:val="19"/>
                <w:szCs w:val="19"/>
              </w:rPr>
            </w:pPr>
          </w:p>
        </w:tc>
        <w:tc>
          <w:tcPr>
            <w:tcW w:w="1466" w:type="dxa"/>
            <w:gridSpan w:val="2"/>
            <w:vAlign w:val="bottom"/>
          </w:tcPr>
          <w:p w:rsidR="003F67D3" w:rsidRPr="00517955" w:rsidRDefault="003F67D3">
            <w:pPr>
              <w:jc w:val="right"/>
              <w:rPr>
                <w:rFonts w:eastAsia="Arial Unicode MS"/>
                <w:color w:val="000000"/>
                <w:sz w:val="19"/>
                <w:szCs w:val="19"/>
              </w:rPr>
            </w:pPr>
          </w:p>
        </w:tc>
      </w:tr>
    </w:tbl>
    <w:p w:rsidR="00C51A7D" w:rsidRDefault="00C51A7D" w:rsidP="0027508E">
      <w:pPr>
        <w:rPr>
          <w:b/>
          <w:color w:val="000000"/>
          <w:sz w:val="22"/>
          <w:szCs w:val="22"/>
        </w:rPr>
        <w:sectPr w:rsidR="00C51A7D" w:rsidSect="001E4914">
          <w:footerReference w:type="default" r:id="rId11"/>
          <w:pgSz w:w="11909" w:h="16834" w:code="9"/>
          <w:pgMar w:top="720" w:right="929" w:bottom="576" w:left="1440" w:header="720" w:footer="576" w:gutter="0"/>
          <w:cols w:space="720"/>
          <w:docGrid w:linePitch="326"/>
        </w:sectPr>
      </w:pPr>
    </w:p>
    <w:tbl>
      <w:tblPr>
        <w:tblW w:w="15776" w:type="dxa"/>
        <w:tblInd w:w="18" w:type="dxa"/>
        <w:tblLayout w:type="fixed"/>
        <w:tblLook w:val="0000"/>
      </w:tblPr>
      <w:tblGrid>
        <w:gridCol w:w="9450"/>
        <w:gridCol w:w="270"/>
        <w:gridCol w:w="1710"/>
        <w:gridCol w:w="1440"/>
        <w:gridCol w:w="1440"/>
        <w:gridCol w:w="1466"/>
      </w:tblGrid>
      <w:tr w:rsidR="006137BD" w:rsidRPr="00517955" w:rsidTr="0027508E">
        <w:tc>
          <w:tcPr>
            <w:tcW w:w="9450" w:type="dxa"/>
          </w:tcPr>
          <w:p w:rsidR="0027508E" w:rsidRPr="00D34293" w:rsidRDefault="0027508E" w:rsidP="0027508E">
            <w:pPr>
              <w:rPr>
                <w:b/>
                <w:color w:val="000000"/>
                <w:sz w:val="22"/>
                <w:szCs w:val="22"/>
              </w:rPr>
            </w:pPr>
            <w:r w:rsidRPr="00D34293">
              <w:rPr>
                <w:b/>
                <w:color w:val="000000"/>
                <w:sz w:val="22"/>
                <w:szCs w:val="22"/>
              </w:rPr>
              <w:lastRenderedPageBreak/>
              <w:t>BORNEO OIL BERHAD</w:t>
            </w:r>
          </w:p>
          <w:p w:rsidR="0027508E" w:rsidRPr="00D34293" w:rsidRDefault="0027508E" w:rsidP="0027508E">
            <w:pPr>
              <w:rPr>
                <w:i/>
                <w:color w:val="000000"/>
                <w:sz w:val="22"/>
                <w:szCs w:val="22"/>
              </w:rPr>
            </w:pPr>
            <w:r w:rsidRPr="00D34293">
              <w:rPr>
                <w:i/>
                <w:color w:val="000000"/>
                <w:sz w:val="22"/>
                <w:szCs w:val="22"/>
              </w:rPr>
              <w:t>(Company No. 121919-H)</w:t>
            </w:r>
          </w:p>
          <w:p w:rsidR="0027508E" w:rsidRPr="00D34293" w:rsidRDefault="0027508E" w:rsidP="0027508E">
            <w:pPr>
              <w:rPr>
                <w:b/>
                <w:color w:val="000000"/>
                <w:sz w:val="22"/>
                <w:szCs w:val="22"/>
              </w:rPr>
            </w:pPr>
            <w:r w:rsidRPr="00D34293">
              <w:rPr>
                <w:b/>
                <w:color w:val="000000"/>
                <w:sz w:val="22"/>
                <w:szCs w:val="22"/>
              </w:rPr>
              <w:t>Incorporated in Malaysia</w:t>
            </w:r>
          </w:p>
          <w:p w:rsidR="0027508E" w:rsidRPr="00D34293" w:rsidRDefault="0027508E" w:rsidP="0027508E">
            <w:pPr>
              <w:rPr>
                <w:b/>
                <w:color w:val="000000"/>
                <w:sz w:val="22"/>
                <w:szCs w:val="22"/>
              </w:rPr>
            </w:pPr>
            <w:r w:rsidRPr="00D34293">
              <w:rPr>
                <w:b/>
                <w:color w:val="000000"/>
                <w:sz w:val="22"/>
                <w:szCs w:val="22"/>
              </w:rPr>
              <w:t>QUARTERLY REPORT ON CONSOLIDATED RESULTS</w:t>
            </w:r>
          </w:p>
          <w:p w:rsidR="00D152AA" w:rsidRPr="00D34293" w:rsidRDefault="0027508E" w:rsidP="0027508E">
            <w:pPr>
              <w:rPr>
                <w:b/>
                <w:color w:val="000000"/>
                <w:sz w:val="22"/>
                <w:szCs w:val="22"/>
              </w:rPr>
            </w:pPr>
            <w:r w:rsidRPr="00D34293">
              <w:rPr>
                <w:b/>
                <w:color w:val="000000"/>
                <w:sz w:val="22"/>
                <w:szCs w:val="22"/>
              </w:rPr>
              <w:t>FOR THE</w:t>
            </w:r>
            <w:r w:rsidR="00EE7C1B">
              <w:rPr>
                <w:b/>
                <w:color w:val="000000"/>
                <w:sz w:val="22"/>
                <w:szCs w:val="22"/>
              </w:rPr>
              <w:t>SECOND</w:t>
            </w:r>
            <w:r w:rsidR="00B12D74">
              <w:rPr>
                <w:b/>
                <w:color w:val="000000"/>
                <w:sz w:val="22"/>
                <w:szCs w:val="22"/>
              </w:rPr>
              <w:t>QUARTER ENDED 3</w:t>
            </w:r>
            <w:r w:rsidR="00EE7C1B">
              <w:rPr>
                <w:b/>
                <w:color w:val="000000"/>
                <w:sz w:val="22"/>
                <w:szCs w:val="22"/>
              </w:rPr>
              <w:t>1 JULY</w:t>
            </w:r>
            <w:r w:rsidRPr="00D34293">
              <w:rPr>
                <w:b/>
                <w:color w:val="000000"/>
                <w:sz w:val="22"/>
                <w:szCs w:val="22"/>
              </w:rPr>
              <w:t xml:space="preserve"> 201</w:t>
            </w:r>
            <w:r w:rsidR="00D152AA">
              <w:rPr>
                <w:b/>
                <w:color w:val="000000"/>
                <w:sz w:val="22"/>
                <w:szCs w:val="22"/>
              </w:rPr>
              <w:t>4</w:t>
            </w:r>
          </w:p>
          <w:p w:rsidR="0027508E" w:rsidRPr="00D34293" w:rsidRDefault="0027508E" w:rsidP="0027508E">
            <w:pPr>
              <w:numPr>
                <w:ilvl w:val="0"/>
                <w:numId w:val="31"/>
              </w:numPr>
              <w:rPr>
                <w:b/>
                <w:color w:val="000000"/>
                <w:sz w:val="22"/>
                <w:szCs w:val="22"/>
              </w:rPr>
            </w:pPr>
            <w:r w:rsidRPr="00D34293">
              <w:rPr>
                <w:b/>
                <w:color w:val="000000"/>
                <w:sz w:val="22"/>
                <w:szCs w:val="22"/>
              </w:rPr>
              <w:t>THE FIGURES HAVE NOT BEEN AUDITED</w:t>
            </w:r>
          </w:p>
          <w:p w:rsidR="0027508E" w:rsidRPr="00517955" w:rsidRDefault="0027508E" w:rsidP="0027508E">
            <w:pPr>
              <w:rPr>
                <w:b/>
                <w:color w:val="000000"/>
                <w:sz w:val="21"/>
                <w:szCs w:val="21"/>
              </w:rPr>
            </w:pPr>
          </w:p>
          <w:p w:rsidR="0027508E" w:rsidRDefault="0027508E" w:rsidP="0027508E">
            <w:pPr>
              <w:rPr>
                <w:b/>
                <w:color w:val="000000"/>
                <w:sz w:val="21"/>
                <w:szCs w:val="21"/>
              </w:rPr>
            </w:pPr>
            <w:r w:rsidRPr="00517955">
              <w:rPr>
                <w:b/>
                <w:color w:val="000000"/>
                <w:sz w:val="19"/>
                <w:szCs w:val="19"/>
              </w:rPr>
              <w:t>CONDENSED CONSOLIDATED STATEMENT OF</w:t>
            </w:r>
            <w:r w:rsidRPr="00517955">
              <w:rPr>
                <w:b/>
                <w:color w:val="000000"/>
                <w:sz w:val="21"/>
                <w:szCs w:val="21"/>
              </w:rPr>
              <w:t xml:space="preserve"> FINANCIAL POSITION</w:t>
            </w:r>
          </w:p>
          <w:p w:rsidR="00C51A7D" w:rsidRPr="00517955" w:rsidRDefault="00C51A7D" w:rsidP="0027508E">
            <w:pPr>
              <w:rPr>
                <w:b/>
                <w:color w:val="000000"/>
                <w:sz w:val="21"/>
                <w:szCs w:val="21"/>
              </w:rPr>
            </w:pPr>
          </w:p>
          <w:p w:rsidR="006137BD" w:rsidRPr="00517955" w:rsidRDefault="00CE12BF" w:rsidP="0027508E">
            <w:pPr>
              <w:ind w:left="162" w:right="-1008" w:hanging="162"/>
              <w:rPr>
                <w:color w:val="000000"/>
                <w:sz w:val="19"/>
                <w:szCs w:val="19"/>
              </w:rPr>
            </w:pPr>
            <w:r w:rsidRPr="00517955">
              <w:rPr>
                <w:color w:val="000000"/>
                <w:sz w:val="19"/>
                <w:szCs w:val="19"/>
              </w:rPr>
              <w:object w:dxaOrig="10284" w:dyaOrig="11766">
                <v:shape id="_x0000_i1026" type="#_x0000_t75" style="width:514.5pt;height:588.75pt" o:ole="">
                  <v:imagedata r:id="rId12" o:title=""/>
                </v:shape>
                <o:OLEObject Type="Embed" ProgID="Excel.Sheet.12" ShapeID="_x0000_i1026" DrawAspect="Content" ObjectID="_1473602795" r:id="rId13"/>
              </w:object>
            </w:r>
          </w:p>
        </w:tc>
        <w:tc>
          <w:tcPr>
            <w:tcW w:w="270" w:type="dxa"/>
          </w:tcPr>
          <w:p w:rsidR="006137BD" w:rsidRPr="00517955" w:rsidRDefault="006137BD" w:rsidP="006137BD">
            <w:pPr>
              <w:ind w:right="-108"/>
              <w:rPr>
                <w:color w:val="000000"/>
                <w:sz w:val="19"/>
                <w:szCs w:val="19"/>
              </w:rPr>
            </w:pPr>
          </w:p>
        </w:tc>
        <w:tc>
          <w:tcPr>
            <w:tcW w:w="1710" w:type="dxa"/>
            <w:vAlign w:val="bottom"/>
          </w:tcPr>
          <w:p w:rsidR="006137BD" w:rsidRPr="00517955" w:rsidRDefault="006137BD" w:rsidP="001A1DE4">
            <w:pPr>
              <w:jc w:val="center"/>
              <w:rPr>
                <w:rFonts w:eastAsia="Arial Unicode MS"/>
                <w:color w:val="000000"/>
                <w:sz w:val="19"/>
                <w:szCs w:val="19"/>
              </w:rPr>
            </w:pPr>
          </w:p>
        </w:tc>
        <w:tc>
          <w:tcPr>
            <w:tcW w:w="1440" w:type="dxa"/>
            <w:vAlign w:val="bottom"/>
          </w:tcPr>
          <w:p w:rsidR="006137BD" w:rsidRPr="00517955" w:rsidRDefault="006137BD" w:rsidP="00CD5F08">
            <w:pPr>
              <w:jc w:val="right"/>
              <w:rPr>
                <w:rFonts w:eastAsia="Arial Unicode MS"/>
                <w:color w:val="000000"/>
                <w:sz w:val="19"/>
                <w:szCs w:val="19"/>
              </w:rPr>
            </w:pPr>
          </w:p>
        </w:tc>
        <w:tc>
          <w:tcPr>
            <w:tcW w:w="1440" w:type="dxa"/>
            <w:vAlign w:val="bottom"/>
          </w:tcPr>
          <w:p w:rsidR="006137BD" w:rsidRPr="00517955" w:rsidRDefault="006137BD" w:rsidP="00A51D3D">
            <w:pPr>
              <w:jc w:val="right"/>
              <w:rPr>
                <w:rFonts w:eastAsia="Arial Unicode MS"/>
                <w:color w:val="000000"/>
                <w:sz w:val="19"/>
                <w:szCs w:val="19"/>
              </w:rPr>
            </w:pPr>
          </w:p>
        </w:tc>
        <w:tc>
          <w:tcPr>
            <w:tcW w:w="1466" w:type="dxa"/>
            <w:vAlign w:val="bottom"/>
          </w:tcPr>
          <w:p w:rsidR="006137BD" w:rsidRPr="00517955" w:rsidRDefault="006137BD">
            <w:pPr>
              <w:jc w:val="right"/>
              <w:rPr>
                <w:rFonts w:eastAsia="Arial Unicode MS"/>
                <w:color w:val="000000"/>
                <w:sz w:val="19"/>
                <w:szCs w:val="19"/>
              </w:rPr>
            </w:pPr>
          </w:p>
        </w:tc>
      </w:tr>
    </w:tbl>
    <w:p w:rsidR="00C51A7D" w:rsidRDefault="00C51A7D">
      <w:pPr>
        <w:rPr>
          <w:b/>
          <w:color w:val="000000"/>
          <w:sz w:val="21"/>
          <w:szCs w:val="21"/>
        </w:rPr>
        <w:sectPr w:rsidR="00C51A7D" w:rsidSect="001E4914">
          <w:headerReference w:type="default" r:id="rId14"/>
          <w:pgSz w:w="11909" w:h="16834" w:code="9"/>
          <w:pgMar w:top="720" w:right="929" w:bottom="576" w:left="1440" w:header="720" w:footer="576" w:gutter="0"/>
          <w:cols w:space="720"/>
          <w:docGrid w:linePitch="326"/>
        </w:sectPr>
      </w:pPr>
    </w:p>
    <w:p w:rsidR="00192DE0" w:rsidRPr="007A1CF3" w:rsidRDefault="00192DE0" w:rsidP="00A46DE1">
      <w:pPr>
        <w:outlineLvl w:val="0"/>
        <w:rPr>
          <w:b/>
          <w:color w:val="000000"/>
          <w:sz w:val="22"/>
          <w:szCs w:val="22"/>
        </w:rPr>
      </w:pPr>
      <w:r w:rsidRPr="007A1CF3">
        <w:rPr>
          <w:b/>
          <w:color w:val="000000"/>
          <w:sz w:val="22"/>
          <w:szCs w:val="22"/>
        </w:rPr>
        <w:lastRenderedPageBreak/>
        <w:t>BORNEO OIL BERHAD</w:t>
      </w:r>
    </w:p>
    <w:p w:rsidR="00192DE0" w:rsidRPr="007A1CF3" w:rsidRDefault="00192DE0" w:rsidP="00192DE0">
      <w:pPr>
        <w:rPr>
          <w:i/>
          <w:color w:val="000000"/>
          <w:sz w:val="22"/>
          <w:szCs w:val="22"/>
        </w:rPr>
      </w:pPr>
      <w:r w:rsidRPr="007A1CF3">
        <w:rPr>
          <w:i/>
          <w:color w:val="000000"/>
          <w:sz w:val="22"/>
          <w:szCs w:val="22"/>
        </w:rPr>
        <w:t>(Company No. 121919-H)</w:t>
      </w:r>
    </w:p>
    <w:p w:rsidR="00192DE0" w:rsidRPr="007A1CF3" w:rsidRDefault="00192DE0" w:rsidP="00A46DE1">
      <w:pPr>
        <w:outlineLvl w:val="0"/>
        <w:rPr>
          <w:b/>
          <w:color w:val="000000"/>
          <w:sz w:val="22"/>
          <w:szCs w:val="22"/>
        </w:rPr>
      </w:pPr>
      <w:r w:rsidRPr="007A1CF3">
        <w:rPr>
          <w:b/>
          <w:color w:val="000000"/>
          <w:sz w:val="22"/>
          <w:szCs w:val="22"/>
        </w:rPr>
        <w:t>Incorporated in Malaysia</w:t>
      </w:r>
    </w:p>
    <w:p w:rsidR="00192DE0" w:rsidRPr="007A1CF3" w:rsidRDefault="00192DE0" w:rsidP="00A46DE1">
      <w:pPr>
        <w:outlineLvl w:val="0"/>
        <w:rPr>
          <w:b/>
          <w:color w:val="000000"/>
          <w:sz w:val="22"/>
          <w:szCs w:val="22"/>
        </w:rPr>
      </w:pPr>
      <w:r w:rsidRPr="007A1CF3">
        <w:rPr>
          <w:b/>
          <w:color w:val="000000"/>
          <w:sz w:val="22"/>
          <w:szCs w:val="22"/>
        </w:rPr>
        <w:t>QUARTERLY REPORT ON CONSOLIDATED RESULTS</w:t>
      </w:r>
    </w:p>
    <w:p w:rsidR="00192DE0" w:rsidRPr="007A1CF3" w:rsidRDefault="00192DE0" w:rsidP="00A46DE1">
      <w:pPr>
        <w:outlineLvl w:val="0"/>
        <w:rPr>
          <w:b/>
          <w:color w:val="000000"/>
          <w:sz w:val="22"/>
          <w:szCs w:val="22"/>
        </w:rPr>
      </w:pPr>
      <w:r w:rsidRPr="007A1CF3">
        <w:rPr>
          <w:b/>
          <w:color w:val="000000"/>
          <w:sz w:val="22"/>
          <w:szCs w:val="22"/>
        </w:rPr>
        <w:t xml:space="preserve">FOR THE </w:t>
      </w:r>
      <w:r w:rsidR="00EE7C1B">
        <w:rPr>
          <w:b/>
          <w:color w:val="000000"/>
          <w:sz w:val="22"/>
          <w:szCs w:val="22"/>
        </w:rPr>
        <w:t>SECOND</w:t>
      </w:r>
      <w:r w:rsidRPr="007A1CF3">
        <w:rPr>
          <w:b/>
          <w:color w:val="000000"/>
          <w:sz w:val="22"/>
          <w:szCs w:val="22"/>
        </w:rPr>
        <w:t xml:space="preserve"> QUARTER ENDED 3</w:t>
      </w:r>
      <w:r w:rsidR="00EE7C1B">
        <w:rPr>
          <w:b/>
          <w:color w:val="000000"/>
          <w:sz w:val="22"/>
          <w:szCs w:val="22"/>
        </w:rPr>
        <w:t>1 JULY</w:t>
      </w:r>
      <w:r w:rsidR="00052C43">
        <w:rPr>
          <w:b/>
          <w:color w:val="000000"/>
          <w:sz w:val="22"/>
          <w:szCs w:val="22"/>
        </w:rPr>
        <w:t xml:space="preserve"> 201</w:t>
      </w:r>
      <w:r w:rsidR="00595156">
        <w:rPr>
          <w:b/>
          <w:color w:val="000000"/>
          <w:sz w:val="22"/>
          <w:szCs w:val="22"/>
        </w:rPr>
        <w:t>4</w:t>
      </w:r>
    </w:p>
    <w:p w:rsidR="00192DE0" w:rsidRPr="007A1CF3" w:rsidRDefault="00192DE0" w:rsidP="00192DE0">
      <w:pPr>
        <w:numPr>
          <w:ilvl w:val="0"/>
          <w:numId w:val="31"/>
        </w:numPr>
        <w:rPr>
          <w:b/>
          <w:color w:val="000000"/>
          <w:sz w:val="22"/>
          <w:szCs w:val="22"/>
        </w:rPr>
      </w:pPr>
      <w:r w:rsidRPr="007A1CF3">
        <w:rPr>
          <w:b/>
          <w:color w:val="000000"/>
          <w:sz w:val="22"/>
          <w:szCs w:val="22"/>
        </w:rPr>
        <w:t>THE FIGURES HAVE NOT BEEN AUDITED</w:t>
      </w:r>
    </w:p>
    <w:p w:rsidR="00A8583D" w:rsidRDefault="00565D63" w:rsidP="000823D3">
      <w:pPr>
        <w:outlineLvl w:val="0"/>
        <w:rPr>
          <w:sz w:val="22"/>
          <w:szCs w:val="22"/>
        </w:rPr>
      </w:pPr>
      <w:r w:rsidRPr="00565D63">
        <w:rPr>
          <w:b/>
          <w:noProof/>
          <w:color w:val="000000"/>
          <w:sz w:val="21"/>
          <w:szCs w:val="21"/>
        </w:rPr>
        <w:pict>
          <v:shape id="_x0000_s1085" type="#_x0000_t75" style="position:absolute;margin-left:4.95pt;margin-top:12.15pt;width:847.35pt;height:343.15pt;z-index:251657728">
            <v:imagedata r:id="rId15" o:title=""/>
            <w10:wrap type="square" side="right"/>
          </v:shape>
          <o:OLEObject Type="Embed" ProgID="Excel.Sheet.12" ShapeID="_x0000_s1085" DrawAspect="Content" ObjectID="_1473602802" r:id="rId16"/>
        </w:pict>
      </w:r>
    </w:p>
    <w:p w:rsidR="00A8583D" w:rsidRDefault="00A8583D" w:rsidP="00052C43">
      <w:pPr>
        <w:rPr>
          <w:sz w:val="22"/>
          <w:szCs w:val="22"/>
        </w:rPr>
      </w:pPr>
    </w:p>
    <w:p w:rsidR="00520FBA" w:rsidRPr="00052C43" w:rsidRDefault="00520FBA" w:rsidP="00052C43">
      <w:pPr>
        <w:rPr>
          <w:sz w:val="22"/>
          <w:szCs w:val="22"/>
        </w:rPr>
        <w:sectPr w:rsidR="00520FBA" w:rsidRPr="00052C43" w:rsidSect="00FB4361">
          <w:headerReference w:type="default" r:id="rId17"/>
          <w:pgSz w:w="16834" w:h="11909" w:orient="landscape" w:code="9"/>
          <w:pgMar w:top="180" w:right="720" w:bottom="180" w:left="576" w:header="720" w:footer="321" w:gutter="0"/>
          <w:cols w:space="720"/>
          <w:docGrid w:linePitch="326"/>
        </w:sectPr>
      </w:pPr>
      <w:r>
        <w:rPr>
          <w:sz w:val="22"/>
          <w:szCs w:val="22"/>
        </w:rPr>
        <w:t>The condensed consolidated statements of changes in equity should be read in conjunction with the audited financial statements for the year ended 31 January 201</w:t>
      </w:r>
      <w:r w:rsidR="00844539">
        <w:rPr>
          <w:sz w:val="22"/>
          <w:szCs w:val="22"/>
        </w:rPr>
        <w:t>4</w:t>
      </w:r>
      <w:r>
        <w:rPr>
          <w:sz w:val="22"/>
          <w:szCs w:val="22"/>
        </w:rPr>
        <w:t xml:space="preserve"> and the explanatory notes attached to the interim financial statements.</w:t>
      </w:r>
    </w:p>
    <w:p w:rsidR="009E7160" w:rsidRPr="004D64D4" w:rsidRDefault="009E7160" w:rsidP="00A46DE1">
      <w:pPr>
        <w:outlineLvl w:val="0"/>
        <w:rPr>
          <w:b/>
          <w:color w:val="000000"/>
          <w:sz w:val="22"/>
          <w:szCs w:val="22"/>
        </w:rPr>
      </w:pPr>
      <w:r w:rsidRPr="004D64D4">
        <w:rPr>
          <w:b/>
          <w:color w:val="000000"/>
          <w:sz w:val="22"/>
          <w:szCs w:val="22"/>
        </w:rPr>
        <w:lastRenderedPageBreak/>
        <w:t>BORNEO OIL BERHAD</w:t>
      </w:r>
    </w:p>
    <w:p w:rsidR="009E7160" w:rsidRPr="007A1CF3" w:rsidRDefault="009E7160" w:rsidP="009E7160">
      <w:pPr>
        <w:rPr>
          <w:i/>
          <w:color w:val="000000"/>
          <w:sz w:val="22"/>
          <w:szCs w:val="22"/>
        </w:rPr>
      </w:pPr>
      <w:r w:rsidRPr="007A1CF3">
        <w:rPr>
          <w:i/>
          <w:color w:val="000000"/>
          <w:sz w:val="22"/>
          <w:szCs w:val="22"/>
        </w:rPr>
        <w:t>(Company No. 121919-H)</w:t>
      </w:r>
    </w:p>
    <w:p w:rsidR="009E7160" w:rsidRPr="007A1CF3" w:rsidRDefault="009E7160" w:rsidP="00A46DE1">
      <w:pPr>
        <w:outlineLvl w:val="0"/>
        <w:rPr>
          <w:b/>
          <w:color w:val="000000"/>
          <w:sz w:val="22"/>
          <w:szCs w:val="22"/>
        </w:rPr>
      </w:pPr>
      <w:r w:rsidRPr="007A1CF3">
        <w:rPr>
          <w:b/>
          <w:color w:val="000000"/>
          <w:sz w:val="22"/>
          <w:szCs w:val="22"/>
        </w:rPr>
        <w:t>Incorporated in Malaysia</w:t>
      </w:r>
    </w:p>
    <w:p w:rsidR="009E7160" w:rsidRPr="007A1CF3" w:rsidRDefault="009E7160" w:rsidP="00A46DE1">
      <w:pPr>
        <w:outlineLvl w:val="0"/>
        <w:rPr>
          <w:b/>
          <w:color w:val="000000"/>
          <w:sz w:val="22"/>
          <w:szCs w:val="22"/>
        </w:rPr>
      </w:pPr>
      <w:r w:rsidRPr="007A1CF3">
        <w:rPr>
          <w:b/>
          <w:color w:val="000000"/>
          <w:sz w:val="22"/>
          <w:szCs w:val="22"/>
        </w:rPr>
        <w:t>QUARTERLY REPORT ON CONSOLIDATED RESULTS</w:t>
      </w:r>
    </w:p>
    <w:p w:rsidR="009E7160" w:rsidRPr="007A1CF3" w:rsidRDefault="009E7160" w:rsidP="00A46DE1">
      <w:pPr>
        <w:outlineLvl w:val="0"/>
        <w:rPr>
          <w:b/>
          <w:color w:val="000000"/>
          <w:sz w:val="22"/>
          <w:szCs w:val="22"/>
        </w:rPr>
      </w:pPr>
      <w:r w:rsidRPr="007A1CF3">
        <w:rPr>
          <w:b/>
          <w:color w:val="000000"/>
          <w:sz w:val="22"/>
          <w:szCs w:val="22"/>
        </w:rPr>
        <w:t xml:space="preserve">FOR </w:t>
      </w:r>
      <w:r w:rsidR="00CC6E4C">
        <w:rPr>
          <w:b/>
          <w:color w:val="000000"/>
          <w:sz w:val="22"/>
          <w:szCs w:val="22"/>
        </w:rPr>
        <w:t xml:space="preserve">THE </w:t>
      </w:r>
      <w:r w:rsidR="00EC66F3">
        <w:rPr>
          <w:b/>
          <w:color w:val="000000"/>
          <w:sz w:val="22"/>
          <w:szCs w:val="22"/>
        </w:rPr>
        <w:t>SECOND</w:t>
      </w:r>
      <w:r w:rsidR="00B01AC7">
        <w:rPr>
          <w:b/>
          <w:color w:val="000000"/>
          <w:sz w:val="22"/>
          <w:szCs w:val="22"/>
        </w:rPr>
        <w:t xml:space="preserve"> QUARTER ENDED 3</w:t>
      </w:r>
      <w:r w:rsidR="00EC66F3">
        <w:rPr>
          <w:b/>
          <w:color w:val="000000"/>
          <w:sz w:val="22"/>
          <w:szCs w:val="22"/>
        </w:rPr>
        <w:t>1 JULY</w:t>
      </w:r>
      <w:r w:rsidR="00CC6E4C">
        <w:rPr>
          <w:b/>
          <w:color w:val="000000"/>
          <w:sz w:val="22"/>
          <w:szCs w:val="22"/>
        </w:rPr>
        <w:t xml:space="preserve"> 201</w:t>
      </w:r>
      <w:r w:rsidR="007F6BAE">
        <w:rPr>
          <w:b/>
          <w:color w:val="000000"/>
          <w:sz w:val="22"/>
          <w:szCs w:val="22"/>
        </w:rPr>
        <w:t>4</w:t>
      </w:r>
    </w:p>
    <w:p w:rsidR="009E7160" w:rsidRPr="007A1CF3" w:rsidRDefault="009E7160" w:rsidP="009E7160">
      <w:pPr>
        <w:numPr>
          <w:ilvl w:val="0"/>
          <w:numId w:val="31"/>
        </w:numPr>
        <w:rPr>
          <w:b/>
          <w:color w:val="000000"/>
          <w:sz w:val="22"/>
          <w:szCs w:val="22"/>
        </w:rPr>
      </w:pPr>
      <w:r w:rsidRPr="007A1CF3">
        <w:rPr>
          <w:b/>
          <w:color w:val="000000"/>
          <w:sz w:val="22"/>
          <w:szCs w:val="22"/>
        </w:rPr>
        <w:t>THE FIGURES HAVE NOT BEEN AUDITED</w:t>
      </w:r>
    </w:p>
    <w:p w:rsidR="009E7160" w:rsidRPr="00517955" w:rsidRDefault="009E7160" w:rsidP="009E7160">
      <w:pPr>
        <w:rPr>
          <w:b/>
          <w:color w:val="000000"/>
          <w:sz w:val="18"/>
          <w:szCs w:val="18"/>
        </w:rPr>
      </w:pPr>
    </w:p>
    <w:p w:rsidR="003F67D3" w:rsidRDefault="009E7160" w:rsidP="00A46DE1">
      <w:pPr>
        <w:outlineLvl w:val="0"/>
        <w:rPr>
          <w:b/>
          <w:color w:val="000000"/>
          <w:sz w:val="18"/>
          <w:szCs w:val="18"/>
        </w:rPr>
      </w:pPr>
      <w:r w:rsidRPr="00517955">
        <w:rPr>
          <w:b/>
          <w:color w:val="000000"/>
          <w:sz w:val="18"/>
          <w:szCs w:val="18"/>
        </w:rPr>
        <w:t xml:space="preserve">CONDENSED CONSOLIDATED CASH FLOW STATEMENT </w:t>
      </w:r>
    </w:p>
    <w:p w:rsidR="008C2086" w:rsidRPr="00517955" w:rsidRDefault="008C2086" w:rsidP="00A46DE1">
      <w:pPr>
        <w:outlineLvl w:val="0"/>
        <w:rPr>
          <w:color w:val="000000"/>
          <w:sz w:val="18"/>
          <w:szCs w:val="18"/>
        </w:rPr>
      </w:pPr>
    </w:p>
    <w:p w:rsidR="003F67D3" w:rsidRPr="00517955" w:rsidRDefault="000146B1" w:rsidP="009E7160">
      <w:pPr>
        <w:rPr>
          <w:b/>
          <w:color w:val="000000"/>
          <w:sz w:val="21"/>
          <w:szCs w:val="21"/>
        </w:rPr>
      </w:pPr>
      <w:r w:rsidRPr="00517955">
        <w:rPr>
          <w:b/>
          <w:color w:val="000000"/>
          <w:sz w:val="21"/>
          <w:szCs w:val="21"/>
        </w:rPr>
        <w:object w:dxaOrig="10321" w:dyaOrig="9935">
          <v:shape id="_x0000_i1027" type="#_x0000_t75" style="width:516pt;height:465.75pt" o:ole="">
            <v:imagedata r:id="rId18" o:title=""/>
          </v:shape>
          <o:OLEObject Type="Embed" ProgID="Excel.Sheet.12" ShapeID="_x0000_i1027" DrawAspect="Content" ObjectID="_1473602796" r:id="rId19"/>
        </w:object>
      </w:r>
    </w:p>
    <w:tbl>
      <w:tblPr>
        <w:tblW w:w="0" w:type="auto"/>
        <w:tblLayout w:type="fixed"/>
        <w:tblLook w:val="0000"/>
      </w:tblPr>
      <w:tblGrid>
        <w:gridCol w:w="1442"/>
        <w:gridCol w:w="270"/>
        <w:gridCol w:w="1440"/>
      </w:tblGrid>
      <w:tr w:rsidR="00CC2E19" w:rsidRPr="00517955">
        <w:tc>
          <w:tcPr>
            <w:tcW w:w="1442" w:type="dxa"/>
          </w:tcPr>
          <w:p w:rsidR="00CC2E19" w:rsidRPr="00517955" w:rsidRDefault="00CC2E19" w:rsidP="00EE5F94">
            <w:pPr>
              <w:pStyle w:val="BodyText3"/>
              <w:ind w:right="113"/>
              <w:jc w:val="right"/>
              <w:rPr>
                <w:color w:val="000000"/>
                <w:sz w:val="21"/>
                <w:szCs w:val="21"/>
                <w:lang w:eastAsia="zh-CN"/>
              </w:rPr>
            </w:pPr>
          </w:p>
        </w:tc>
        <w:tc>
          <w:tcPr>
            <w:tcW w:w="270" w:type="dxa"/>
          </w:tcPr>
          <w:p w:rsidR="00CC2E19" w:rsidRPr="00517955" w:rsidRDefault="00CC2E19">
            <w:pPr>
              <w:pStyle w:val="BodyText3"/>
              <w:ind w:right="72"/>
              <w:jc w:val="right"/>
              <w:rPr>
                <w:color w:val="000000"/>
                <w:sz w:val="21"/>
                <w:szCs w:val="21"/>
              </w:rPr>
            </w:pPr>
          </w:p>
        </w:tc>
        <w:tc>
          <w:tcPr>
            <w:tcW w:w="1440" w:type="dxa"/>
          </w:tcPr>
          <w:p w:rsidR="00CC2E19" w:rsidRPr="00517955" w:rsidRDefault="00CC2E19" w:rsidP="004C7543">
            <w:pPr>
              <w:pStyle w:val="BodyText3"/>
              <w:ind w:right="113"/>
              <w:jc w:val="right"/>
              <w:rPr>
                <w:color w:val="000000"/>
                <w:sz w:val="21"/>
                <w:szCs w:val="21"/>
              </w:rPr>
            </w:pPr>
          </w:p>
        </w:tc>
      </w:tr>
    </w:tbl>
    <w:p w:rsidR="00687A95" w:rsidRDefault="00687A95" w:rsidP="00517955">
      <w:pPr>
        <w:ind w:right="89"/>
        <w:jc w:val="both"/>
        <w:rPr>
          <w:color w:val="000000"/>
          <w:sz w:val="21"/>
          <w:szCs w:val="21"/>
        </w:rPr>
      </w:pPr>
    </w:p>
    <w:p w:rsidR="00517955" w:rsidRPr="00517955" w:rsidRDefault="00517955" w:rsidP="00517955">
      <w:pPr>
        <w:ind w:right="89"/>
        <w:jc w:val="both"/>
        <w:rPr>
          <w:color w:val="000000"/>
          <w:sz w:val="21"/>
          <w:szCs w:val="21"/>
        </w:rPr>
      </w:pPr>
      <w:r w:rsidRPr="00517955">
        <w:rPr>
          <w:color w:val="000000"/>
          <w:sz w:val="21"/>
          <w:szCs w:val="21"/>
        </w:rPr>
        <w:t xml:space="preserve">The condensed consolidated cash flow statements should be read in conjunction with the </w:t>
      </w:r>
      <w:r w:rsidR="008C2086">
        <w:rPr>
          <w:color w:val="000000"/>
          <w:sz w:val="21"/>
          <w:szCs w:val="21"/>
        </w:rPr>
        <w:t>audited financial statements for the year ended 31 January 201</w:t>
      </w:r>
      <w:r w:rsidR="000305EF">
        <w:rPr>
          <w:color w:val="000000"/>
          <w:sz w:val="21"/>
          <w:szCs w:val="21"/>
        </w:rPr>
        <w:t>4</w:t>
      </w:r>
      <w:r w:rsidR="008C2086">
        <w:rPr>
          <w:color w:val="000000"/>
          <w:sz w:val="21"/>
          <w:szCs w:val="21"/>
        </w:rPr>
        <w:t xml:space="preserve"> and the accompanying explanatory notes attached to the interim financial statements</w:t>
      </w:r>
      <w:r w:rsidRPr="00517955">
        <w:rPr>
          <w:color w:val="000000"/>
          <w:sz w:val="21"/>
          <w:szCs w:val="21"/>
        </w:rPr>
        <w:t>.</w:t>
      </w:r>
    </w:p>
    <w:p w:rsidR="00CC6E4C" w:rsidRDefault="00CC6E4C">
      <w:pPr>
        <w:rPr>
          <w:b/>
          <w:color w:val="000000"/>
          <w:sz w:val="21"/>
          <w:szCs w:val="21"/>
        </w:rPr>
        <w:sectPr w:rsidR="00CC6E4C" w:rsidSect="001E4914">
          <w:pgSz w:w="11909" w:h="16834" w:code="9"/>
          <w:pgMar w:top="720" w:right="929" w:bottom="576" w:left="1440" w:header="720" w:footer="576" w:gutter="0"/>
          <w:cols w:space="720"/>
          <w:docGrid w:linePitch="326"/>
        </w:sectPr>
      </w:pPr>
    </w:p>
    <w:p w:rsidR="007A4D23" w:rsidRPr="00517955" w:rsidRDefault="007A4D23">
      <w:pPr>
        <w:rPr>
          <w:b/>
          <w:color w:val="000000"/>
          <w:sz w:val="21"/>
          <w:szCs w:val="21"/>
        </w:rPr>
      </w:pPr>
    </w:p>
    <w:p w:rsidR="007A4D23" w:rsidRPr="00440C62" w:rsidRDefault="007A4D23" w:rsidP="00A46DE1">
      <w:pPr>
        <w:outlineLvl w:val="0"/>
        <w:rPr>
          <w:b/>
          <w:color w:val="000000"/>
          <w:sz w:val="22"/>
          <w:szCs w:val="22"/>
        </w:rPr>
      </w:pPr>
      <w:r w:rsidRPr="00440C62">
        <w:rPr>
          <w:b/>
          <w:color w:val="000000"/>
          <w:sz w:val="22"/>
          <w:szCs w:val="22"/>
        </w:rPr>
        <w:t>BORNEO OIL BERHAD</w:t>
      </w:r>
    </w:p>
    <w:p w:rsidR="007A4D23" w:rsidRPr="00440C62" w:rsidRDefault="007A4D23" w:rsidP="007A4D23">
      <w:pPr>
        <w:rPr>
          <w:i/>
          <w:color w:val="000000"/>
          <w:sz w:val="22"/>
          <w:szCs w:val="22"/>
        </w:rPr>
      </w:pPr>
      <w:r w:rsidRPr="00440C62">
        <w:rPr>
          <w:i/>
          <w:color w:val="000000"/>
          <w:sz w:val="22"/>
          <w:szCs w:val="22"/>
        </w:rPr>
        <w:t>(Company No. 121919-H)</w:t>
      </w:r>
    </w:p>
    <w:p w:rsidR="007A4D23" w:rsidRPr="00440C62" w:rsidRDefault="007A4D23" w:rsidP="00A46DE1">
      <w:pPr>
        <w:outlineLvl w:val="0"/>
        <w:rPr>
          <w:b/>
          <w:color w:val="000000"/>
          <w:sz w:val="22"/>
          <w:szCs w:val="22"/>
        </w:rPr>
      </w:pPr>
      <w:r w:rsidRPr="00440C62">
        <w:rPr>
          <w:b/>
          <w:color w:val="000000"/>
          <w:sz w:val="22"/>
          <w:szCs w:val="22"/>
        </w:rPr>
        <w:t>Incorporated in Malaysia</w:t>
      </w:r>
    </w:p>
    <w:p w:rsidR="007A4D23" w:rsidRPr="00440C62" w:rsidRDefault="007A4D23">
      <w:pPr>
        <w:rPr>
          <w:b/>
          <w:color w:val="000000"/>
          <w:sz w:val="22"/>
          <w:szCs w:val="22"/>
        </w:rPr>
      </w:pPr>
    </w:p>
    <w:p w:rsidR="007A4D23" w:rsidRPr="00440C62" w:rsidRDefault="007A4D23" w:rsidP="00A46DE1">
      <w:pPr>
        <w:outlineLvl w:val="0"/>
        <w:rPr>
          <w:b/>
          <w:color w:val="000000"/>
          <w:sz w:val="22"/>
          <w:szCs w:val="22"/>
        </w:rPr>
      </w:pPr>
      <w:r w:rsidRPr="00440C62">
        <w:rPr>
          <w:b/>
          <w:color w:val="000000"/>
          <w:sz w:val="22"/>
          <w:szCs w:val="22"/>
        </w:rPr>
        <w:t>Notes on the qu</w:t>
      </w:r>
      <w:r w:rsidR="008C2086">
        <w:rPr>
          <w:b/>
          <w:color w:val="000000"/>
          <w:sz w:val="22"/>
          <w:szCs w:val="22"/>
        </w:rPr>
        <w:t>arterly report – 3</w:t>
      </w:r>
      <w:r w:rsidR="00EC66F3">
        <w:rPr>
          <w:b/>
          <w:color w:val="000000"/>
          <w:sz w:val="22"/>
          <w:szCs w:val="22"/>
        </w:rPr>
        <w:t>1 July</w:t>
      </w:r>
      <w:r w:rsidR="008C2086">
        <w:rPr>
          <w:b/>
          <w:color w:val="000000"/>
          <w:sz w:val="22"/>
          <w:szCs w:val="22"/>
        </w:rPr>
        <w:t xml:space="preserve"> 201</w:t>
      </w:r>
      <w:r w:rsidR="007E55EF">
        <w:rPr>
          <w:b/>
          <w:color w:val="000000"/>
          <w:sz w:val="22"/>
          <w:szCs w:val="22"/>
        </w:rPr>
        <w:t>4</w:t>
      </w:r>
    </w:p>
    <w:p w:rsidR="007A4D23" w:rsidRPr="00440C62" w:rsidRDefault="007A4D23" w:rsidP="007A4D23">
      <w:pPr>
        <w:pBdr>
          <w:bottom w:val="single" w:sz="4" w:space="1" w:color="auto"/>
        </w:pBdr>
        <w:rPr>
          <w:b/>
          <w:color w:val="000000"/>
          <w:sz w:val="22"/>
          <w:szCs w:val="22"/>
        </w:rPr>
      </w:pPr>
    </w:p>
    <w:p w:rsidR="007A4D23" w:rsidRPr="00440C62" w:rsidRDefault="007A4D23">
      <w:pPr>
        <w:rPr>
          <w:b/>
          <w:color w:val="000000"/>
          <w:sz w:val="22"/>
          <w:szCs w:val="22"/>
        </w:rPr>
      </w:pPr>
    </w:p>
    <w:p w:rsidR="003F67D3" w:rsidRPr="00440C62" w:rsidRDefault="003F67D3" w:rsidP="00A46DE1">
      <w:pPr>
        <w:outlineLvl w:val="0"/>
        <w:rPr>
          <w:b/>
          <w:color w:val="000000"/>
          <w:sz w:val="22"/>
          <w:szCs w:val="22"/>
        </w:rPr>
      </w:pPr>
      <w:r w:rsidRPr="00440C62">
        <w:rPr>
          <w:b/>
          <w:color w:val="000000"/>
          <w:sz w:val="22"/>
          <w:szCs w:val="22"/>
        </w:rPr>
        <w:t xml:space="preserve"> A</w:t>
      </w:r>
      <w:r w:rsidR="007A4D23" w:rsidRPr="00440C62">
        <w:rPr>
          <w:b/>
          <w:color w:val="000000"/>
          <w:sz w:val="22"/>
          <w:szCs w:val="22"/>
        </w:rPr>
        <w:t>.</w:t>
      </w:r>
      <w:r w:rsidRPr="00440C62">
        <w:rPr>
          <w:b/>
          <w:color w:val="000000"/>
          <w:sz w:val="22"/>
          <w:szCs w:val="22"/>
        </w:rPr>
        <w:t xml:space="preserve"> E</w:t>
      </w:r>
      <w:r w:rsidR="007A4D23" w:rsidRPr="00440C62">
        <w:rPr>
          <w:b/>
          <w:color w:val="000000"/>
          <w:sz w:val="22"/>
          <w:szCs w:val="22"/>
        </w:rPr>
        <w:t xml:space="preserve">XPLANATORY NOTES AS PER </w:t>
      </w:r>
      <w:r w:rsidRPr="00440C62">
        <w:rPr>
          <w:b/>
          <w:color w:val="000000"/>
          <w:sz w:val="22"/>
          <w:szCs w:val="22"/>
        </w:rPr>
        <w:t>FRS 134</w:t>
      </w:r>
      <w:r w:rsidR="007A4D23" w:rsidRPr="00440C62">
        <w:rPr>
          <w:b/>
          <w:color w:val="000000"/>
          <w:sz w:val="22"/>
          <w:szCs w:val="22"/>
        </w:rPr>
        <w:t xml:space="preserve"> – INTERIM FINANCIAL REPORTING</w:t>
      </w:r>
    </w:p>
    <w:p w:rsidR="003F67D3" w:rsidRPr="00440C62" w:rsidRDefault="003F67D3" w:rsidP="007A4D23">
      <w:pPr>
        <w:spacing w:line="156" w:lineRule="auto"/>
        <w:rPr>
          <w:b/>
          <w:color w:val="000000"/>
          <w:sz w:val="22"/>
          <w:szCs w:val="22"/>
        </w:rPr>
      </w:pPr>
    </w:p>
    <w:p w:rsidR="003F67D3" w:rsidRPr="00440C62" w:rsidRDefault="003F67D3">
      <w:pPr>
        <w:rPr>
          <w:b/>
          <w:color w:val="000000"/>
          <w:sz w:val="22"/>
          <w:szCs w:val="22"/>
        </w:rPr>
      </w:pPr>
    </w:p>
    <w:p w:rsidR="003F67D3" w:rsidRPr="00A46DE1" w:rsidRDefault="007A4D23">
      <w:pPr>
        <w:rPr>
          <w:b/>
          <w:color w:val="000000"/>
        </w:rPr>
      </w:pPr>
      <w:r w:rsidRPr="00A46DE1">
        <w:rPr>
          <w:b/>
          <w:color w:val="000000"/>
        </w:rPr>
        <w:t>A</w:t>
      </w:r>
      <w:r w:rsidR="003F67D3" w:rsidRPr="00A46DE1">
        <w:rPr>
          <w:b/>
          <w:color w:val="000000"/>
        </w:rPr>
        <w:t>1.</w:t>
      </w:r>
      <w:r w:rsidR="003F67D3" w:rsidRPr="00A46DE1">
        <w:rPr>
          <w:b/>
          <w:color w:val="000000"/>
        </w:rPr>
        <w:tab/>
        <w:t>Basis of preparation</w:t>
      </w:r>
    </w:p>
    <w:p w:rsidR="003F67D3" w:rsidRPr="00A46DE1" w:rsidRDefault="003F67D3">
      <w:pPr>
        <w:rPr>
          <w:color w:val="000000"/>
        </w:rPr>
      </w:pPr>
    </w:p>
    <w:p w:rsidR="003F67D3" w:rsidRPr="00A46DE1" w:rsidRDefault="003F67D3">
      <w:pPr>
        <w:ind w:left="720"/>
        <w:jc w:val="both"/>
        <w:rPr>
          <w:color w:val="000000"/>
        </w:rPr>
      </w:pPr>
      <w:r w:rsidRPr="00A46DE1">
        <w:rPr>
          <w:color w:val="000000"/>
        </w:rPr>
        <w:t xml:space="preserve">The interim financial </w:t>
      </w:r>
      <w:r w:rsidR="007A4D23" w:rsidRPr="00A46DE1">
        <w:rPr>
          <w:color w:val="000000"/>
        </w:rPr>
        <w:t>report</w:t>
      </w:r>
      <w:r w:rsidR="00195A95">
        <w:rPr>
          <w:color w:val="000000"/>
        </w:rPr>
        <w:t xml:space="preserve"> </w:t>
      </w:r>
      <w:r w:rsidR="007A4D23" w:rsidRPr="00A46DE1">
        <w:rPr>
          <w:color w:val="000000"/>
        </w:rPr>
        <w:t>is</w:t>
      </w:r>
      <w:r w:rsidRPr="00A46DE1">
        <w:rPr>
          <w:color w:val="000000"/>
        </w:rPr>
        <w:t xml:space="preserve"> unaudited and ha</w:t>
      </w:r>
      <w:r w:rsidR="007A4D23" w:rsidRPr="00A46DE1">
        <w:rPr>
          <w:color w:val="000000"/>
        </w:rPr>
        <w:t xml:space="preserve">s </w:t>
      </w:r>
      <w:r w:rsidRPr="00A46DE1">
        <w:rPr>
          <w:color w:val="000000"/>
        </w:rPr>
        <w:t xml:space="preserve">been prepared in accordance with the requirements </w:t>
      </w:r>
      <w:r w:rsidR="00925656" w:rsidRPr="00A46DE1">
        <w:rPr>
          <w:color w:val="000000"/>
        </w:rPr>
        <w:t xml:space="preserve">of MFRS </w:t>
      </w:r>
      <w:r w:rsidRPr="00A46DE1">
        <w:rPr>
          <w:color w:val="000000"/>
        </w:rPr>
        <w:t>134</w:t>
      </w:r>
      <w:r w:rsidR="00925656" w:rsidRPr="00A46DE1">
        <w:rPr>
          <w:color w:val="000000"/>
        </w:rPr>
        <w:t>:</w:t>
      </w:r>
      <w:r w:rsidRPr="00A46DE1">
        <w:rPr>
          <w:color w:val="000000"/>
        </w:rPr>
        <w:t xml:space="preserve"> Interim Financial Reporting</w:t>
      </w:r>
      <w:r w:rsidR="00925656" w:rsidRPr="00A46DE1">
        <w:rPr>
          <w:color w:val="000000"/>
        </w:rPr>
        <w:t xml:space="preserve"> and Chapter 9.22 of the</w:t>
      </w:r>
      <w:r w:rsidRPr="00A46DE1">
        <w:rPr>
          <w:color w:val="000000"/>
        </w:rPr>
        <w:t xml:space="preserve"> Listing Requirements of Burs</w:t>
      </w:r>
      <w:r w:rsidR="00471C1F">
        <w:rPr>
          <w:color w:val="000000"/>
        </w:rPr>
        <w:t>a Malaysia Securities Berhad.</w:t>
      </w:r>
    </w:p>
    <w:p w:rsidR="00925656" w:rsidRPr="00A46DE1" w:rsidRDefault="00925656">
      <w:pPr>
        <w:ind w:left="720"/>
        <w:jc w:val="both"/>
        <w:rPr>
          <w:color w:val="000000"/>
        </w:rPr>
      </w:pPr>
    </w:p>
    <w:p w:rsidR="00925656" w:rsidRPr="00A46DE1" w:rsidRDefault="00925656" w:rsidP="00BF153A">
      <w:pPr>
        <w:ind w:left="720"/>
        <w:jc w:val="both"/>
        <w:rPr>
          <w:color w:val="000000"/>
        </w:rPr>
      </w:pPr>
      <w:r w:rsidRPr="00A46DE1">
        <w:rPr>
          <w:color w:val="000000"/>
        </w:rPr>
        <w:t>The interim financial report should be read in conjunction with the audited financial statements of the Company for the year ended 31 January 201</w:t>
      </w:r>
      <w:r w:rsidR="00BF153A">
        <w:rPr>
          <w:color w:val="000000"/>
        </w:rPr>
        <w:t>4</w:t>
      </w:r>
      <w:r w:rsidRPr="00A46DE1">
        <w:rPr>
          <w:color w:val="000000"/>
        </w:rPr>
        <w:t>. These explanatory notes attached to the interim financial report provide an explanation of events and transactions that are significant to an understanding of the changes in the financial position and performance of the Company since the financial year ended 31 January 201</w:t>
      </w:r>
      <w:r w:rsidR="00BF153A">
        <w:rPr>
          <w:color w:val="000000"/>
        </w:rPr>
        <w:t>4</w:t>
      </w:r>
      <w:r w:rsidRPr="00A46DE1">
        <w:rPr>
          <w:color w:val="000000"/>
        </w:rPr>
        <w:t>.</w:t>
      </w:r>
    </w:p>
    <w:p w:rsidR="003F67D3" w:rsidRPr="00A46DE1" w:rsidRDefault="003F67D3">
      <w:pPr>
        <w:ind w:left="720"/>
        <w:jc w:val="both"/>
        <w:rPr>
          <w:color w:val="000000"/>
        </w:rPr>
      </w:pPr>
    </w:p>
    <w:p w:rsidR="00222952" w:rsidRDefault="005C0F69" w:rsidP="005C0F69">
      <w:pPr>
        <w:pStyle w:val="BodyText"/>
        <w:ind w:left="720"/>
        <w:rPr>
          <w:color w:val="000000"/>
        </w:rPr>
      </w:pPr>
      <w:r>
        <w:rPr>
          <w:color w:val="000000"/>
        </w:rPr>
        <w:t>As at 31 July 2014, the following MFRs and IC Interpretations were not in issue but not yet effective and have not been applied by the Group:</w:t>
      </w:r>
    </w:p>
    <w:p w:rsidR="005C0F69" w:rsidRDefault="005C0F69" w:rsidP="005C0F69">
      <w:pPr>
        <w:pStyle w:val="BodyText"/>
        <w:ind w:left="720"/>
        <w:rPr>
          <w:color w:val="000000"/>
        </w:rPr>
      </w:pPr>
    </w:p>
    <w:p w:rsidR="005C0F69" w:rsidRDefault="005C0F69" w:rsidP="005C0F69">
      <w:pPr>
        <w:pStyle w:val="BodyText"/>
        <w:ind w:left="72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Effective date for</w:t>
      </w:r>
    </w:p>
    <w:p w:rsidR="005C0F69" w:rsidRDefault="005C0F69" w:rsidP="005C0F69">
      <w:pPr>
        <w:pStyle w:val="BodyText"/>
        <w:ind w:left="72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Financial periods</w:t>
      </w:r>
    </w:p>
    <w:p w:rsidR="005C0F69" w:rsidRPr="005C0F69" w:rsidRDefault="005C0F69" w:rsidP="005C0F69">
      <w:pPr>
        <w:pStyle w:val="BodyText"/>
        <w:ind w:left="720"/>
        <w:rPr>
          <w:color w:val="000000"/>
          <w:u w:val="single"/>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5C0F69">
        <w:rPr>
          <w:color w:val="000000"/>
          <w:u w:val="single"/>
        </w:rPr>
        <w:t>Beginning on or after</w:t>
      </w:r>
    </w:p>
    <w:p w:rsidR="005C0F69" w:rsidRDefault="005C0F69" w:rsidP="005C0F69">
      <w:pPr>
        <w:pStyle w:val="BodyText"/>
        <w:ind w:left="720"/>
        <w:rPr>
          <w:color w:val="000000"/>
        </w:rPr>
      </w:pPr>
    </w:p>
    <w:p w:rsidR="005C0F69" w:rsidRDefault="005C0F69" w:rsidP="005C0F69">
      <w:pPr>
        <w:pStyle w:val="BodyText"/>
        <w:ind w:left="720"/>
        <w:rPr>
          <w:color w:val="000000"/>
        </w:rPr>
      </w:pPr>
      <w:r>
        <w:rPr>
          <w:color w:val="000000"/>
        </w:rPr>
        <w:t>MFRS 9</w:t>
      </w:r>
      <w:r>
        <w:rPr>
          <w:color w:val="000000"/>
        </w:rPr>
        <w:tab/>
        <w:t>Financial instruments (IFRS 9 issued by IABS</w:t>
      </w:r>
      <w:r>
        <w:rPr>
          <w:color w:val="000000"/>
        </w:rPr>
        <w:tab/>
        <w:t>1 January 2015</w:t>
      </w:r>
    </w:p>
    <w:p w:rsidR="005C0F69" w:rsidRDefault="005C0F69" w:rsidP="005C0F69">
      <w:pPr>
        <w:pStyle w:val="BodyText"/>
        <w:ind w:left="720"/>
        <w:rPr>
          <w:color w:val="000000"/>
        </w:rPr>
      </w:pPr>
      <w:r>
        <w:rPr>
          <w:color w:val="000000"/>
        </w:rPr>
        <w:tab/>
      </w:r>
      <w:r>
        <w:rPr>
          <w:color w:val="000000"/>
        </w:rPr>
        <w:tab/>
        <w:t>In November 2009)</w:t>
      </w:r>
    </w:p>
    <w:p w:rsidR="005C0F69" w:rsidRDefault="005C0F69" w:rsidP="005C0F69">
      <w:pPr>
        <w:pStyle w:val="BodyText"/>
        <w:ind w:left="720"/>
        <w:rPr>
          <w:color w:val="000000"/>
        </w:rPr>
      </w:pPr>
      <w:r>
        <w:rPr>
          <w:color w:val="000000"/>
        </w:rPr>
        <w:tab/>
      </w:r>
      <w:r>
        <w:rPr>
          <w:color w:val="000000"/>
        </w:rPr>
        <w:tab/>
        <w:t>Financial instruments (IFRS 9 issued by IASB</w:t>
      </w:r>
    </w:p>
    <w:p w:rsidR="005C0F69" w:rsidRPr="000C31BE" w:rsidRDefault="005C0F69" w:rsidP="005C0F69">
      <w:pPr>
        <w:pStyle w:val="BodyText"/>
        <w:ind w:left="720"/>
        <w:rPr>
          <w:color w:val="000000"/>
        </w:rPr>
      </w:pPr>
      <w:r>
        <w:rPr>
          <w:color w:val="000000"/>
        </w:rPr>
        <w:tab/>
      </w:r>
      <w:r>
        <w:rPr>
          <w:color w:val="000000"/>
        </w:rPr>
        <w:tab/>
        <w:t>In October 2010)</w:t>
      </w:r>
    </w:p>
    <w:p w:rsidR="003F67D3" w:rsidRPr="000C31BE" w:rsidRDefault="003F67D3" w:rsidP="00427A9B">
      <w:pPr>
        <w:rPr>
          <w:b/>
          <w:color w:val="000000"/>
        </w:rPr>
      </w:pPr>
    </w:p>
    <w:p w:rsidR="003F67D3" w:rsidRPr="00511C37" w:rsidRDefault="00222952" w:rsidP="00222952">
      <w:pPr>
        <w:ind w:left="720" w:hanging="720"/>
        <w:rPr>
          <w:b/>
          <w:color w:val="000000"/>
        </w:rPr>
      </w:pPr>
      <w:r w:rsidRPr="00511C37">
        <w:rPr>
          <w:b/>
          <w:color w:val="000000"/>
        </w:rPr>
        <w:t>A2</w:t>
      </w:r>
      <w:r w:rsidR="001C73F9" w:rsidRPr="00511C37">
        <w:rPr>
          <w:b/>
          <w:color w:val="000000"/>
        </w:rPr>
        <w:t>.</w:t>
      </w:r>
      <w:r w:rsidRPr="00511C37">
        <w:rPr>
          <w:b/>
          <w:color w:val="000000"/>
        </w:rPr>
        <w:tab/>
        <w:t>Audit</w:t>
      </w:r>
      <w:r w:rsidR="003F67D3" w:rsidRPr="00511C37">
        <w:rPr>
          <w:b/>
          <w:color w:val="000000"/>
        </w:rPr>
        <w:t xml:space="preserve"> Report</w:t>
      </w:r>
    </w:p>
    <w:p w:rsidR="003F67D3" w:rsidRPr="00511C37" w:rsidRDefault="003F67D3">
      <w:pPr>
        <w:ind w:left="720"/>
        <w:jc w:val="both"/>
        <w:rPr>
          <w:color w:val="000000"/>
        </w:rPr>
      </w:pPr>
    </w:p>
    <w:p w:rsidR="003F67D3" w:rsidRPr="00511C37" w:rsidRDefault="003F67D3">
      <w:pPr>
        <w:ind w:left="720"/>
        <w:jc w:val="both"/>
        <w:rPr>
          <w:color w:val="000000"/>
        </w:rPr>
      </w:pPr>
      <w:r w:rsidRPr="00511C37">
        <w:rPr>
          <w:color w:val="000000"/>
        </w:rPr>
        <w:t xml:space="preserve">The </w:t>
      </w:r>
      <w:r w:rsidR="00222952" w:rsidRPr="00511C37">
        <w:rPr>
          <w:color w:val="000000"/>
        </w:rPr>
        <w:t>a</w:t>
      </w:r>
      <w:r w:rsidRPr="00511C37">
        <w:rPr>
          <w:color w:val="000000"/>
        </w:rPr>
        <w:t>uditors</w:t>
      </w:r>
      <w:r w:rsidR="00222952" w:rsidRPr="00511C37">
        <w:rPr>
          <w:color w:val="000000"/>
        </w:rPr>
        <w:t>’ report on the audited financial statements for the year ended 31 January 201</w:t>
      </w:r>
      <w:r w:rsidR="00BF153A">
        <w:rPr>
          <w:color w:val="000000"/>
        </w:rPr>
        <w:t>4</w:t>
      </w:r>
      <w:r w:rsidR="00222952" w:rsidRPr="00511C37">
        <w:rPr>
          <w:color w:val="000000"/>
        </w:rPr>
        <w:t xml:space="preserve"> was not qualified</w:t>
      </w:r>
      <w:r w:rsidRPr="00511C37">
        <w:rPr>
          <w:color w:val="000000"/>
        </w:rPr>
        <w:t>.</w:t>
      </w:r>
    </w:p>
    <w:p w:rsidR="003F67D3" w:rsidRPr="00511C37" w:rsidRDefault="003F67D3">
      <w:pPr>
        <w:ind w:left="720"/>
        <w:jc w:val="both"/>
        <w:rPr>
          <w:color w:val="000000"/>
        </w:rPr>
      </w:pPr>
    </w:p>
    <w:p w:rsidR="003F67D3" w:rsidRPr="00511C37" w:rsidRDefault="003F67D3">
      <w:pPr>
        <w:ind w:left="709"/>
        <w:jc w:val="both"/>
        <w:rPr>
          <w:color w:val="000000"/>
        </w:rPr>
      </w:pPr>
    </w:p>
    <w:p w:rsidR="00B57ED7" w:rsidRPr="00511C37" w:rsidRDefault="00222952" w:rsidP="00222952">
      <w:pPr>
        <w:jc w:val="both"/>
        <w:rPr>
          <w:b/>
          <w:color w:val="000000"/>
        </w:rPr>
      </w:pPr>
      <w:r w:rsidRPr="00511C37">
        <w:rPr>
          <w:b/>
          <w:color w:val="000000"/>
        </w:rPr>
        <w:t>A3</w:t>
      </w:r>
      <w:r w:rsidR="001C73F9" w:rsidRPr="00511C37">
        <w:rPr>
          <w:b/>
          <w:color w:val="000000"/>
        </w:rPr>
        <w:t>.</w:t>
      </w:r>
      <w:r w:rsidRPr="00511C37">
        <w:rPr>
          <w:b/>
          <w:color w:val="000000"/>
        </w:rPr>
        <w:tab/>
      </w:r>
      <w:r w:rsidR="00B57ED7" w:rsidRPr="00511C37">
        <w:rPr>
          <w:b/>
          <w:color w:val="000000"/>
        </w:rPr>
        <w:t>Seasonal or Cyclical Factors</w:t>
      </w:r>
    </w:p>
    <w:p w:rsidR="00B57ED7" w:rsidRPr="00511C37" w:rsidRDefault="00B57ED7" w:rsidP="00B57ED7">
      <w:pPr>
        <w:pStyle w:val="BodyTextIndent3"/>
        <w:ind w:left="0" w:firstLine="720"/>
        <w:jc w:val="both"/>
        <w:rPr>
          <w:rFonts w:ascii="Times New Roman" w:hAnsi="Times New Roman"/>
          <w:color w:val="000000"/>
          <w:sz w:val="24"/>
          <w:szCs w:val="24"/>
        </w:rPr>
      </w:pPr>
    </w:p>
    <w:p w:rsidR="00B57ED7" w:rsidRPr="00511C37" w:rsidRDefault="00B57ED7" w:rsidP="001C73F9">
      <w:pPr>
        <w:pStyle w:val="BodyTextIndent3"/>
        <w:ind w:left="720"/>
        <w:jc w:val="both"/>
        <w:rPr>
          <w:rFonts w:ascii="Times New Roman" w:hAnsi="Times New Roman"/>
          <w:color w:val="000000"/>
          <w:sz w:val="24"/>
          <w:szCs w:val="24"/>
        </w:rPr>
      </w:pPr>
      <w:r w:rsidRPr="00511C37">
        <w:rPr>
          <w:rFonts w:ascii="Times New Roman" w:hAnsi="Times New Roman"/>
          <w:color w:val="000000"/>
          <w:sz w:val="24"/>
          <w:szCs w:val="24"/>
        </w:rPr>
        <w:t>The</w:t>
      </w:r>
      <w:r w:rsidR="00222952" w:rsidRPr="00511C37">
        <w:rPr>
          <w:rFonts w:ascii="Times New Roman" w:hAnsi="Times New Roman"/>
          <w:color w:val="000000"/>
          <w:sz w:val="24"/>
          <w:szCs w:val="24"/>
        </w:rPr>
        <w:t xml:space="preserve"> operations of the Group generally move in tandem with the performance of the fast food and </w:t>
      </w:r>
      <w:r w:rsidR="001C73F9" w:rsidRPr="00511C37">
        <w:rPr>
          <w:rFonts w:ascii="Times New Roman" w:hAnsi="Times New Roman"/>
          <w:color w:val="000000"/>
          <w:sz w:val="24"/>
          <w:szCs w:val="24"/>
        </w:rPr>
        <w:t>property industries and the overall economic landscape.</w:t>
      </w:r>
    </w:p>
    <w:p w:rsidR="00A76153" w:rsidRPr="00511C37" w:rsidRDefault="00A76153" w:rsidP="00180F38">
      <w:pPr>
        <w:rPr>
          <w:b/>
          <w:color w:val="000000"/>
        </w:rPr>
      </w:pPr>
    </w:p>
    <w:p w:rsidR="005249CE" w:rsidRDefault="005249CE" w:rsidP="00180F38">
      <w:pPr>
        <w:rPr>
          <w:b/>
          <w:color w:val="000000"/>
        </w:rPr>
      </w:pPr>
    </w:p>
    <w:p w:rsidR="00BF71AC" w:rsidRPr="00511C37" w:rsidRDefault="00BF71AC" w:rsidP="00BF71AC">
      <w:pPr>
        <w:jc w:val="both"/>
        <w:rPr>
          <w:b/>
          <w:color w:val="000000"/>
        </w:rPr>
      </w:pPr>
      <w:r w:rsidRPr="00511C37">
        <w:rPr>
          <w:b/>
          <w:color w:val="000000"/>
        </w:rPr>
        <w:t>A4.</w:t>
      </w:r>
      <w:r w:rsidRPr="00511C37">
        <w:rPr>
          <w:b/>
          <w:color w:val="000000"/>
        </w:rPr>
        <w:tab/>
        <w:t xml:space="preserve">Unusual Items </w:t>
      </w:r>
    </w:p>
    <w:p w:rsidR="00BF71AC" w:rsidRPr="00511C37" w:rsidRDefault="00BF71AC" w:rsidP="00BF71AC">
      <w:pPr>
        <w:jc w:val="both"/>
        <w:rPr>
          <w:color w:val="000000"/>
        </w:rPr>
      </w:pPr>
    </w:p>
    <w:p w:rsidR="00BF71AC" w:rsidRPr="00511C37" w:rsidRDefault="00BF71AC" w:rsidP="00BF71AC">
      <w:pPr>
        <w:ind w:left="709" w:firstLine="11"/>
        <w:jc w:val="both"/>
        <w:rPr>
          <w:color w:val="000000"/>
        </w:rPr>
      </w:pPr>
      <w:r w:rsidRPr="00511C37">
        <w:rPr>
          <w:color w:val="000000"/>
        </w:rPr>
        <w:t>During the quarter under review there were no items or events that arose, which affected assets, liabilities, equity, net income or cash flows, that were unusual by reason of their nature, size or incidence.</w:t>
      </w:r>
    </w:p>
    <w:p w:rsidR="00BF71AC" w:rsidRDefault="00BF71AC" w:rsidP="00180F38">
      <w:pPr>
        <w:rPr>
          <w:b/>
          <w:color w:val="000000"/>
        </w:rPr>
      </w:pPr>
    </w:p>
    <w:p w:rsidR="00BF71AC" w:rsidRDefault="00BF71AC" w:rsidP="00180F38">
      <w:pPr>
        <w:rPr>
          <w:b/>
          <w:color w:val="000000"/>
        </w:rPr>
      </w:pPr>
    </w:p>
    <w:p w:rsidR="006E1DE6" w:rsidRDefault="006E1DE6" w:rsidP="00A24AD2">
      <w:pPr>
        <w:outlineLvl w:val="0"/>
        <w:rPr>
          <w:b/>
          <w:color w:val="000000"/>
        </w:rPr>
      </w:pPr>
    </w:p>
    <w:p w:rsidR="00A24AD2" w:rsidRPr="00A24AD2" w:rsidRDefault="00A24AD2" w:rsidP="00A24AD2">
      <w:pPr>
        <w:outlineLvl w:val="0"/>
        <w:rPr>
          <w:b/>
          <w:color w:val="000000"/>
        </w:rPr>
      </w:pPr>
      <w:r w:rsidRPr="00A24AD2">
        <w:rPr>
          <w:b/>
          <w:color w:val="000000"/>
        </w:rPr>
        <w:lastRenderedPageBreak/>
        <w:t>BORNEO OIL BERHAD</w:t>
      </w:r>
    </w:p>
    <w:p w:rsidR="00A24AD2" w:rsidRPr="00A24AD2" w:rsidRDefault="00A24AD2" w:rsidP="00A24AD2">
      <w:pPr>
        <w:rPr>
          <w:i/>
          <w:color w:val="000000"/>
        </w:rPr>
      </w:pPr>
      <w:r w:rsidRPr="00A24AD2">
        <w:rPr>
          <w:i/>
          <w:color w:val="000000"/>
        </w:rPr>
        <w:t>(Company No. 121919-H)</w:t>
      </w:r>
    </w:p>
    <w:p w:rsidR="00A24AD2" w:rsidRPr="00A24AD2" w:rsidRDefault="00A24AD2" w:rsidP="00A24AD2">
      <w:pPr>
        <w:outlineLvl w:val="0"/>
        <w:rPr>
          <w:b/>
          <w:color w:val="000000"/>
        </w:rPr>
      </w:pPr>
      <w:r w:rsidRPr="00A24AD2">
        <w:rPr>
          <w:b/>
          <w:color w:val="000000"/>
        </w:rPr>
        <w:t>Incorporated in Malaysia</w:t>
      </w:r>
    </w:p>
    <w:p w:rsidR="00A24AD2" w:rsidRPr="00A24AD2" w:rsidRDefault="00A24AD2" w:rsidP="00A24AD2">
      <w:pPr>
        <w:rPr>
          <w:b/>
          <w:color w:val="000000"/>
        </w:rPr>
      </w:pPr>
    </w:p>
    <w:p w:rsidR="00A24AD2" w:rsidRPr="00A24AD2" w:rsidRDefault="00A24AD2" w:rsidP="00A24AD2">
      <w:pPr>
        <w:outlineLvl w:val="0"/>
        <w:rPr>
          <w:b/>
          <w:color w:val="000000"/>
        </w:rPr>
      </w:pPr>
      <w:r w:rsidRPr="00A24AD2">
        <w:rPr>
          <w:b/>
          <w:color w:val="000000"/>
        </w:rPr>
        <w:t xml:space="preserve">Notes on the quarterly report – </w:t>
      </w:r>
      <w:r w:rsidR="00CC1860">
        <w:rPr>
          <w:b/>
          <w:color w:val="000000"/>
          <w:sz w:val="22"/>
          <w:szCs w:val="22"/>
        </w:rPr>
        <w:t>3</w:t>
      </w:r>
      <w:r w:rsidR="00EC66F3">
        <w:rPr>
          <w:b/>
          <w:color w:val="000000"/>
          <w:sz w:val="22"/>
          <w:szCs w:val="22"/>
        </w:rPr>
        <w:t>1 July</w:t>
      </w:r>
      <w:r w:rsidR="00CC1860">
        <w:rPr>
          <w:b/>
          <w:color w:val="000000"/>
          <w:sz w:val="22"/>
          <w:szCs w:val="22"/>
        </w:rPr>
        <w:t xml:space="preserve"> 201</w:t>
      </w:r>
      <w:r w:rsidR="000A694B">
        <w:rPr>
          <w:b/>
          <w:color w:val="000000"/>
          <w:sz w:val="22"/>
          <w:szCs w:val="22"/>
        </w:rPr>
        <w:t>4</w:t>
      </w:r>
    </w:p>
    <w:p w:rsidR="00A24AD2" w:rsidRPr="00A24AD2" w:rsidRDefault="00A24AD2" w:rsidP="00A24AD2">
      <w:pPr>
        <w:pBdr>
          <w:bottom w:val="single" w:sz="4" w:space="1" w:color="auto"/>
        </w:pBdr>
        <w:ind w:left="720" w:hanging="720"/>
        <w:jc w:val="both"/>
        <w:rPr>
          <w:b/>
          <w:color w:val="000000"/>
        </w:rPr>
      </w:pPr>
      <w:r w:rsidRPr="00A24AD2">
        <w:rPr>
          <w:b/>
          <w:color w:val="000000"/>
        </w:rPr>
        <w:tab/>
      </w:r>
      <w:r w:rsidRPr="00A24AD2">
        <w:rPr>
          <w:b/>
          <w:color w:val="000000"/>
        </w:rPr>
        <w:tab/>
      </w:r>
      <w:r w:rsidRPr="00A24AD2">
        <w:rPr>
          <w:b/>
          <w:color w:val="000000"/>
        </w:rPr>
        <w:tab/>
      </w:r>
      <w:r w:rsidRPr="00A24AD2">
        <w:rPr>
          <w:b/>
          <w:color w:val="000000"/>
        </w:rPr>
        <w:tab/>
      </w:r>
      <w:r w:rsidRPr="00A24AD2">
        <w:rPr>
          <w:b/>
          <w:color w:val="000000"/>
        </w:rPr>
        <w:tab/>
      </w:r>
      <w:r w:rsidRPr="00A24AD2">
        <w:rPr>
          <w:b/>
          <w:color w:val="000000"/>
        </w:rPr>
        <w:tab/>
      </w:r>
      <w:r w:rsidRPr="00A24AD2">
        <w:rPr>
          <w:b/>
          <w:color w:val="000000"/>
        </w:rPr>
        <w:tab/>
      </w:r>
      <w:r w:rsidRPr="00A24AD2">
        <w:rPr>
          <w:b/>
          <w:color w:val="000000"/>
        </w:rPr>
        <w:tab/>
      </w:r>
    </w:p>
    <w:p w:rsidR="003F67D3" w:rsidRDefault="003F67D3">
      <w:pPr>
        <w:rPr>
          <w:b/>
          <w:color w:val="000000"/>
          <w:sz w:val="22"/>
          <w:szCs w:val="22"/>
        </w:rPr>
      </w:pPr>
    </w:p>
    <w:p w:rsidR="005C0B79" w:rsidRDefault="005C0B79">
      <w:pPr>
        <w:spacing w:line="360" w:lineRule="auto"/>
        <w:jc w:val="both"/>
        <w:rPr>
          <w:b/>
          <w:color w:val="000000"/>
        </w:rPr>
      </w:pPr>
    </w:p>
    <w:p w:rsidR="003F67D3" w:rsidRPr="00A24AD2" w:rsidRDefault="001C73F9">
      <w:pPr>
        <w:spacing w:line="360" w:lineRule="auto"/>
        <w:jc w:val="both"/>
        <w:rPr>
          <w:b/>
          <w:color w:val="000000"/>
        </w:rPr>
      </w:pPr>
      <w:r w:rsidRPr="00A24AD2">
        <w:rPr>
          <w:b/>
          <w:color w:val="000000"/>
        </w:rPr>
        <w:t>A</w:t>
      </w:r>
      <w:r w:rsidR="003F67D3" w:rsidRPr="00A24AD2">
        <w:rPr>
          <w:b/>
          <w:color w:val="000000"/>
        </w:rPr>
        <w:t>5.</w:t>
      </w:r>
      <w:r w:rsidR="003F67D3" w:rsidRPr="00A24AD2">
        <w:rPr>
          <w:b/>
          <w:color w:val="000000"/>
        </w:rPr>
        <w:tab/>
        <w:t>Changes in Estimates</w:t>
      </w:r>
    </w:p>
    <w:p w:rsidR="003F67D3" w:rsidRPr="00A24AD2" w:rsidRDefault="003F67D3" w:rsidP="001C73F9">
      <w:pPr>
        <w:ind w:left="720"/>
        <w:jc w:val="both"/>
        <w:rPr>
          <w:b/>
          <w:color w:val="000000"/>
        </w:rPr>
      </w:pPr>
      <w:r w:rsidRPr="00A24AD2">
        <w:rPr>
          <w:color w:val="000000"/>
        </w:rPr>
        <w:t xml:space="preserve">There were no changes in estimates </w:t>
      </w:r>
      <w:r w:rsidR="001C73F9" w:rsidRPr="00A24AD2">
        <w:rPr>
          <w:color w:val="000000"/>
        </w:rPr>
        <w:t xml:space="preserve">of amounts reported </w:t>
      </w:r>
      <w:r w:rsidRPr="00A24AD2">
        <w:rPr>
          <w:color w:val="000000"/>
        </w:rPr>
        <w:t xml:space="preserve">that have a material effect </w:t>
      </w:r>
      <w:r w:rsidR="001C73F9" w:rsidRPr="00A24AD2">
        <w:rPr>
          <w:color w:val="000000"/>
        </w:rPr>
        <w:t>o</w:t>
      </w:r>
      <w:r w:rsidRPr="00A24AD2">
        <w:rPr>
          <w:color w:val="000000"/>
        </w:rPr>
        <w:t>n the</w:t>
      </w:r>
      <w:r w:rsidR="001C73F9" w:rsidRPr="00A24AD2">
        <w:rPr>
          <w:color w:val="000000"/>
        </w:rPr>
        <w:t xml:space="preserve"> results in the quarter under review.</w:t>
      </w:r>
    </w:p>
    <w:p w:rsidR="00A118D8" w:rsidRPr="00687A95" w:rsidRDefault="00A118D8" w:rsidP="00A118D8">
      <w:pPr>
        <w:jc w:val="both"/>
        <w:rPr>
          <w:b/>
          <w:color w:val="000000"/>
          <w:sz w:val="18"/>
          <w:szCs w:val="18"/>
        </w:rPr>
      </w:pPr>
    </w:p>
    <w:p w:rsidR="00A118D8" w:rsidRPr="00A24AD2" w:rsidRDefault="00A118D8" w:rsidP="001C73F9">
      <w:pPr>
        <w:ind w:left="720" w:hanging="720"/>
        <w:jc w:val="both"/>
        <w:rPr>
          <w:b/>
          <w:color w:val="000000"/>
        </w:rPr>
      </w:pPr>
    </w:p>
    <w:p w:rsidR="003F67D3" w:rsidRPr="00A24AD2" w:rsidRDefault="001C73F9" w:rsidP="001C73F9">
      <w:pPr>
        <w:ind w:left="720" w:hanging="720"/>
        <w:jc w:val="both"/>
        <w:rPr>
          <w:b/>
          <w:color w:val="000000"/>
        </w:rPr>
      </w:pPr>
      <w:r w:rsidRPr="00A24AD2">
        <w:rPr>
          <w:b/>
          <w:color w:val="000000"/>
        </w:rPr>
        <w:t>A</w:t>
      </w:r>
      <w:r w:rsidR="003F67D3" w:rsidRPr="00A24AD2">
        <w:rPr>
          <w:b/>
          <w:color w:val="000000"/>
        </w:rPr>
        <w:t>6.</w:t>
      </w:r>
      <w:r w:rsidR="003F67D3" w:rsidRPr="00A24AD2">
        <w:rPr>
          <w:b/>
          <w:color w:val="000000"/>
        </w:rPr>
        <w:tab/>
      </w:r>
      <w:r w:rsidRPr="00A24AD2">
        <w:rPr>
          <w:b/>
          <w:color w:val="000000"/>
        </w:rPr>
        <w:t xml:space="preserve">Issuance, Cancellations, Repurchases, Resale and Repayments of Debts and </w:t>
      </w:r>
      <w:r w:rsidR="003F67D3" w:rsidRPr="00A24AD2">
        <w:rPr>
          <w:b/>
          <w:color w:val="000000"/>
        </w:rPr>
        <w:t>Equity Securities</w:t>
      </w:r>
    </w:p>
    <w:p w:rsidR="003F67D3" w:rsidRPr="00A24AD2" w:rsidRDefault="003F67D3">
      <w:pPr>
        <w:jc w:val="both"/>
        <w:rPr>
          <w:color w:val="000000"/>
        </w:rPr>
      </w:pPr>
    </w:p>
    <w:p w:rsidR="00E13216" w:rsidRDefault="00E13216" w:rsidP="00E13216">
      <w:pPr>
        <w:ind w:left="720"/>
        <w:jc w:val="both"/>
        <w:rPr>
          <w:color w:val="000000"/>
        </w:rPr>
      </w:pPr>
      <w:r>
        <w:rPr>
          <w:color w:val="000000"/>
        </w:rPr>
        <w:t>There is no</w:t>
      </w:r>
      <w:r w:rsidR="00553C22">
        <w:rPr>
          <w:color w:val="000000"/>
        </w:rPr>
        <w:t xml:space="preserve"> repurchase, resale or cancellation of Company’s own shares </w:t>
      </w:r>
      <w:r>
        <w:rPr>
          <w:color w:val="000000"/>
        </w:rPr>
        <w:t>during the quarter.</w:t>
      </w:r>
    </w:p>
    <w:p w:rsidR="003F67D3" w:rsidRPr="00A24AD2" w:rsidRDefault="003F67D3" w:rsidP="00E13216">
      <w:pPr>
        <w:ind w:left="720"/>
        <w:jc w:val="both"/>
        <w:rPr>
          <w:color w:val="000000"/>
        </w:rPr>
      </w:pPr>
    </w:p>
    <w:p w:rsidR="005C0B79" w:rsidRDefault="005C0B79">
      <w:pPr>
        <w:rPr>
          <w:b/>
          <w:color w:val="000000"/>
        </w:rPr>
      </w:pPr>
    </w:p>
    <w:p w:rsidR="003F67D3" w:rsidRPr="00A24AD2" w:rsidRDefault="008B6A74">
      <w:pPr>
        <w:rPr>
          <w:b/>
          <w:color w:val="000000"/>
        </w:rPr>
      </w:pPr>
      <w:r w:rsidRPr="00A24AD2">
        <w:rPr>
          <w:b/>
          <w:color w:val="000000"/>
        </w:rPr>
        <w:t>A</w:t>
      </w:r>
      <w:r w:rsidR="003F67D3" w:rsidRPr="00A24AD2">
        <w:rPr>
          <w:b/>
          <w:color w:val="000000"/>
        </w:rPr>
        <w:t>7.</w:t>
      </w:r>
      <w:r w:rsidR="003F67D3" w:rsidRPr="00A24AD2">
        <w:rPr>
          <w:b/>
          <w:color w:val="000000"/>
        </w:rPr>
        <w:tab/>
        <w:t>Dividends Paid</w:t>
      </w:r>
    </w:p>
    <w:p w:rsidR="003F67D3" w:rsidRPr="00A24AD2" w:rsidRDefault="003F67D3">
      <w:pPr>
        <w:rPr>
          <w:b/>
          <w:color w:val="000000"/>
        </w:rPr>
      </w:pPr>
    </w:p>
    <w:p w:rsidR="003F67D3" w:rsidRPr="00A24AD2" w:rsidRDefault="003F67D3">
      <w:pPr>
        <w:rPr>
          <w:b/>
          <w:color w:val="000000"/>
        </w:rPr>
      </w:pPr>
      <w:r w:rsidRPr="00A24AD2">
        <w:rPr>
          <w:b/>
          <w:color w:val="000000"/>
        </w:rPr>
        <w:tab/>
      </w:r>
      <w:r w:rsidRPr="00A24AD2">
        <w:rPr>
          <w:color w:val="000000"/>
        </w:rPr>
        <w:t>There is no dividend paid</w:t>
      </w:r>
      <w:r w:rsidR="008B6A74" w:rsidRPr="00A24AD2">
        <w:rPr>
          <w:color w:val="000000"/>
        </w:rPr>
        <w:t xml:space="preserve"> during the quarter under review.</w:t>
      </w:r>
    </w:p>
    <w:p w:rsidR="003F67D3" w:rsidRPr="00687A95" w:rsidRDefault="003F67D3">
      <w:pPr>
        <w:rPr>
          <w:b/>
          <w:color w:val="000000"/>
          <w:sz w:val="18"/>
          <w:szCs w:val="18"/>
        </w:rPr>
      </w:pPr>
    </w:p>
    <w:p w:rsidR="006348B3" w:rsidRPr="00A24AD2" w:rsidRDefault="006348B3" w:rsidP="006348B3">
      <w:pPr>
        <w:ind w:left="720"/>
        <w:rPr>
          <w:b/>
          <w:color w:val="000000"/>
        </w:rPr>
      </w:pPr>
    </w:p>
    <w:p w:rsidR="003F67D3" w:rsidRPr="00A24AD2" w:rsidRDefault="008B6A74" w:rsidP="006348B3">
      <w:pPr>
        <w:rPr>
          <w:b/>
          <w:color w:val="000000"/>
        </w:rPr>
      </w:pPr>
      <w:r w:rsidRPr="00A24AD2">
        <w:rPr>
          <w:b/>
          <w:color w:val="000000"/>
        </w:rPr>
        <w:t>A</w:t>
      </w:r>
      <w:r w:rsidR="006348B3" w:rsidRPr="00A24AD2">
        <w:rPr>
          <w:b/>
          <w:color w:val="000000"/>
        </w:rPr>
        <w:t>8.</w:t>
      </w:r>
      <w:r w:rsidR="006348B3" w:rsidRPr="00A24AD2">
        <w:rPr>
          <w:b/>
          <w:color w:val="000000"/>
        </w:rPr>
        <w:tab/>
      </w:r>
      <w:r w:rsidR="003F67D3" w:rsidRPr="00A24AD2">
        <w:rPr>
          <w:b/>
          <w:color w:val="000000"/>
        </w:rPr>
        <w:t xml:space="preserve">Segmental Information </w:t>
      </w:r>
    </w:p>
    <w:p w:rsidR="008B6A74" w:rsidRPr="00A24AD2" w:rsidRDefault="008B6A74" w:rsidP="006348B3">
      <w:pPr>
        <w:rPr>
          <w:b/>
          <w:color w:val="000000"/>
        </w:rPr>
      </w:pPr>
      <w:r w:rsidRPr="00A24AD2">
        <w:rPr>
          <w:b/>
          <w:color w:val="000000"/>
        </w:rPr>
        <w:tab/>
      </w:r>
    </w:p>
    <w:p w:rsidR="008B6A74" w:rsidRPr="00A24AD2" w:rsidRDefault="008B6A74" w:rsidP="006348B3">
      <w:pPr>
        <w:rPr>
          <w:color w:val="000000"/>
        </w:rPr>
      </w:pPr>
      <w:r w:rsidRPr="00A24AD2">
        <w:rPr>
          <w:b/>
          <w:color w:val="000000"/>
        </w:rPr>
        <w:tab/>
      </w:r>
      <w:r w:rsidR="00BF2047" w:rsidRPr="00BF2047">
        <w:rPr>
          <w:color w:val="000000"/>
        </w:rPr>
        <w:t>Revenue from the following</w:t>
      </w:r>
      <w:r w:rsidRPr="00A24AD2">
        <w:rPr>
          <w:color w:val="000000"/>
        </w:rPr>
        <w:t xml:space="preserve"> business activities.</w:t>
      </w:r>
    </w:p>
    <w:p w:rsidR="003F67D3" w:rsidRPr="00517955" w:rsidRDefault="00CC1860" w:rsidP="00CC1860">
      <w:pPr>
        <w:ind w:left="720"/>
        <w:rPr>
          <w:b/>
          <w:color w:val="000000"/>
          <w:sz w:val="21"/>
          <w:szCs w:val="21"/>
        </w:rPr>
      </w:pPr>
      <w:r>
        <w:rPr>
          <w:b/>
          <w:color w:val="000000"/>
          <w:sz w:val="21"/>
          <w:szCs w:val="21"/>
        </w:rPr>
        <w:tab/>
      </w:r>
      <w:r w:rsidR="00221BA0" w:rsidRPr="00517955">
        <w:rPr>
          <w:b/>
          <w:color w:val="000000"/>
          <w:sz w:val="21"/>
          <w:szCs w:val="21"/>
        </w:rPr>
        <w:object w:dxaOrig="9305" w:dyaOrig="3904">
          <v:shape id="_x0000_i1028" type="#_x0000_t75" style="width:465pt;height:194.25pt" o:ole="">
            <v:imagedata r:id="rId20" o:title=""/>
          </v:shape>
          <o:OLEObject Type="Embed" ProgID="Excel.Sheet.12" ShapeID="_x0000_i1028" DrawAspect="Content" ObjectID="_1473602797" r:id="rId21"/>
        </w:object>
      </w:r>
    </w:p>
    <w:tbl>
      <w:tblPr>
        <w:tblW w:w="13411" w:type="dxa"/>
        <w:tblInd w:w="108" w:type="dxa"/>
        <w:tblLayout w:type="fixed"/>
        <w:tblLook w:val="0000"/>
      </w:tblPr>
      <w:tblGrid>
        <w:gridCol w:w="1417"/>
        <w:gridCol w:w="691"/>
        <w:gridCol w:w="1403"/>
        <w:gridCol w:w="6209"/>
        <w:gridCol w:w="180"/>
        <w:gridCol w:w="1237"/>
        <w:gridCol w:w="180"/>
        <w:gridCol w:w="511"/>
        <w:gridCol w:w="180"/>
        <w:gridCol w:w="1223"/>
        <w:gridCol w:w="180"/>
      </w:tblGrid>
      <w:tr w:rsidR="005C0B79" w:rsidRPr="00517955" w:rsidTr="005C0B79">
        <w:trPr>
          <w:gridAfter w:val="8"/>
          <w:wAfter w:w="9900" w:type="dxa"/>
          <w:trHeight w:val="180"/>
        </w:trPr>
        <w:tc>
          <w:tcPr>
            <w:tcW w:w="1417" w:type="dxa"/>
          </w:tcPr>
          <w:p w:rsidR="005C0B79" w:rsidRPr="00A24AD2" w:rsidRDefault="005C0B79" w:rsidP="00B15EBD">
            <w:pPr>
              <w:ind w:left="-8838" w:right="72"/>
              <w:rPr>
                <w:b/>
                <w:color w:val="000000"/>
              </w:rPr>
            </w:pPr>
          </w:p>
        </w:tc>
        <w:tc>
          <w:tcPr>
            <w:tcW w:w="691" w:type="dxa"/>
          </w:tcPr>
          <w:p w:rsidR="005C0B79" w:rsidRPr="00517955" w:rsidRDefault="005C0B79">
            <w:pPr>
              <w:pStyle w:val="Heading7"/>
              <w:ind w:right="72"/>
              <w:jc w:val="right"/>
              <w:rPr>
                <w:color w:val="000000"/>
                <w:sz w:val="21"/>
                <w:szCs w:val="21"/>
              </w:rPr>
            </w:pPr>
          </w:p>
        </w:tc>
        <w:tc>
          <w:tcPr>
            <w:tcW w:w="1403" w:type="dxa"/>
          </w:tcPr>
          <w:p w:rsidR="005C0B79" w:rsidRPr="00517955" w:rsidRDefault="005C0B79" w:rsidP="00192C81">
            <w:pPr>
              <w:ind w:right="72"/>
              <w:rPr>
                <w:b/>
                <w:color w:val="000000"/>
                <w:sz w:val="21"/>
                <w:szCs w:val="21"/>
              </w:rPr>
            </w:pPr>
          </w:p>
        </w:tc>
      </w:tr>
      <w:tr w:rsidR="003F67D3" w:rsidRPr="00517955" w:rsidTr="00585ACF">
        <w:trPr>
          <w:trHeight w:val="282"/>
        </w:trPr>
        <w:tc>
          <w:tcPr>
            <w:tcW w:w="9900" w:type="dxa"/>
            <w:gridSpan w:val="5"/>
          </w:tcPr>
          <w:p w:rsidR="003F67D3" w:rsidRPr="00517955" w:rsidRDefault="003F67D3" w:rsidP="00A36A11">
            <w:pPr>
              <w:jc w:val="both"/>
              <w:rPr>
                <w:color w:val="000000"/>
                <w:sz w:val="21"/>
                <w:szCs w:val="21"/>
              </w:rPr>
            </w:pPr>
          </w:p>
        </w:tc>
        <w:tc>
          <w:tcPr>
            <w:tcW w:w="1417" w:type="dxa"/>
            <w:gridSpan w:val="2"/>
            <w:vAlign w:val="bottom"/>
          </w:tcPr>
          <w:p w:rsidR="003F67D3" w:rsidRPr="00517955" w:rsidRDefault="003F67D3" w:rsidP="008450D3">
            <w:pPr>
              <w:jc w:val="right"/>
              <w:rPr>
                <w:rFonts w:eastAsia="Arial Unicode MS"/>
                <w:color w:val="000000"/>
                <w:sz w:val="21"/>
                <w:szCs w:val="21"/>
              </w:rPr>
            </w:pPr>
          </w:p>
        </w:tc>
        <w:tc>
          <w:tcPr>
            <w:tcW w:w="691" w:type="dxa"/>
            <w:gridSpan w:val="2"/>
          </w:tcPr>
          <w:p w:rsidR="003F67D3" w:rsidRPr="00517955" w:rsidRDefault="003F67D3">
            <w:pPr>
              <w:jc w:val="right"/>
              <w:rPr>
                <w:rFonts w:eastAsia="Arial Unicode MS"/>
                <w:color w:val="000000"/>
                <w:sz w:val="21"/>
                <w:szCs w:val="21"/>
              </w:rPr>
            </w:pPr>
          </w:p>
        </w:tc>
        <w:tc>
          <w:tcPr>
            <w:tcW w:w="1403" w:type="dxa"/>
            <w:gridSpan w:val="2"/>
            <w:vAlign w:val="bottom"/>
          </w:tcPr>
          <w:p w:rsidR="003F67D3" w:rsidRPr="00517955" w:rsidRDefault="003F67D3" w:rsidP="008450D3">
            <w:pPr>
              <w:jc w:val="right"/>
              <w:rPr>
                <w:rFonts w:eastAsia="Arial Unicode MS"/>
                <w:color w:val="000000"/>
                <w:sz w:val="21"/>
                <w:szCs w:val="21"/>
              </w:rPr>
            </w:pPr>
          </w:p>
        </w:tc>
      </w:tr>
      <w:tr w:rsidR="003F67D3" w:rsidRPr="00517955" w:rsidTr="003F72F5">
        <w:trPr>
          <w:gridAfter w:val="1"/>
          <w:wAfter w:w="180" w:type="dxa"/>
          <w:trHeight w:val="162"/>
        </w:trPr>
        <w:tc>
          <w:tcPr>
            <w:tcW w:w="9720" w:type="dxa"/>
            <w:gridSpan w:val="4"/>
          </w:tcPr>
          <w:p w:rsidR="005C0B79" w:rsidRPr="008817A3" w:rsidRDefault="005C0B79" w:rsidP="00094628">
            <w:pPr>
              <w:outlineLvl w:val="0"/>
              <w:rPr>
                <w:b/>
                <w:color w:val="000000"/>
              </w:rPr>
            </w:pPr>
          </w:p>
          <w:p w:rsidR="000A694B" w:rsidRPr="008817A3" w:rsidRDefault="000A694B" w:rsidP="00094628">
            <w:pPr>
              <w:outlineLvl w:val="0"/>
              <w:rPr>
                <w:b/>
                <w:color w:val="000000"/>
              </w:rPr>
            </w:pPr>
          </w:p>
          <w:p w:rsidR="008A4CE1" w:rsidRPr="008817A3" w:rsidRDefault="008A4CE1" w:rsidP="00094628">
            <w:pPr>
              <w:outlineLvl w:val="0"/>
              <w:rPr>
                <w:b/>
                <w:color w:val="000000"/>
              </w:rPr>
            </w:pPr>
          </w:p>
          <w:p w:rsidR="008A4CE1" w:rsidRPr="008817A3" w:rsidRDefault="008A4CE1" w:rsidP="00094628">
            <w:pPr>
              <w:outlineLvl w:val="0"/>
              <w:rPr>
                <w:b/>
                <w:color w:val="000000"/>
              </w:rPr>
            </w:pPr>
          </w:p>
          <w:p w:rsidR="008A4CE1" w:rsidRPr="008817A3" w:rsidRDefault="008A4CE1" w:rsidP="00094628">
            <w:pPr>
              <w:outlineLvl w:val="0"/>
              <w:rPr>
                <w:b/>
                <w:color w:val="000000"/>
              </w:rPr>
            </w:pPr>
          </w:p>
          <w:p w:rsidR="008A4CE1" w:rsidRPr="008817A3" w:rsidRDefault="008A4CE1" w:rsidP="00094628">
            <w:pPr>
              <w:outlineLvl w:val="0"/>
              <w:rPr>
                <w:b/>
                <w:color w:val="000000"/>
              </w:rPr>
            </w:pPr>
          </w:p>
          <w:p w:rsidR="008A4CE1" w:rsidRPr="008817A3" w:rsidRDefault="008A4CE1" w:rsidP="00094628">
            <w:pPr>
              <w:outlineLvl w:val="0"/>
              <w:rPr>
                <w:b/>
                <w:color w:val="000000"/>
              </w:rPr>
            </w:pPr>
          </w:p>
          <w:p w:rsidR="00783F70" w:rsidRPr="008817A3" w:rsidRDefault="00783F70" w:rsidP="00094628">
            <w:pPr>
              <w:outlineLvl w:val="0"/>
              <w:rPr>
                <w:b/>
                <w:color w:val="000000"/>
              </w:rPr>
            </w:pPr>
          </w:p>
          <w:p w:rsidR="005C0B79" w:rsidRPr="008817A3" w:rsidRDefault="005C0B79" w:rsidP="00094628">
            <w:pPr>
              <w:outlineLvl w:val="0"/>
              <w:rPr>
                <w:b/>
                <w:color w:val="000000"/>
              </w:rPr>
            </w:pPr>
          </w:p>
          <w:p w:rsidR="00094628" w:rsidRPr="008817A3" w:rsidRDefault="00094628" w:rsidP="00094628">
            <w:pPr>
              <w:outlineLvl w:val="0"/>
              <w:rPr>
                <w:b/>
                <w:color w:val="000000"/>
              </w:rPr>
            </w:pPr>
            <w:r w:rsidRPr="008817A3">
              <w:rPr>
                <w:b/>
                <w:color w:val="000000"/>
              </w:rPr>
              <w:lastRenderedPageBreak/>
              <w:t>BORNEO OIL BERHAD</w:t>
            </w:r>
          </w:p>
          <w:p w:rsidR="00094628" w:rsidRPr="008817A3" w:rsidRDefault="00094628" w:rsidP="00094628">
            <w:pPr>
              <w:rPr>
                <w:i/>
                <w:color w:val="000000"/>
              </w:rPr>
            </w:pPr>
            <w:r w:rsidRPr="008817A3">
              <w:rPr>
                <w:i/>
                <w:color w:val="000000"/>
              </w:rPr>
              <w:t>(Company No. 121919-H)</w:t>
            </w:r>
          </w:p>
          <w:p w:rsidR="00094628" w:rsidRPr="008817A3" w:rsidRDefault="00094628" w:rsidP="00094628">
            <w:pPr>
              <w:outlineLvl w:val="0"/>
              <w:rPr>
                <w:b/>
                <w:color w:val="000000"/>
              </w:rPr>
            </w:pPr>
            <w:r w:rsidRPr="008817A3">
              <w:rPr>
                <w:b/>
                <w:color w:val="000000"/>
              </w:rPr>
              <w:t>Incorporated in Malaysia</w:t>
            </w:r>
          </w:p>
          <w:p w:rsidR="00094628" w:rsidRPr="008817A3" w:rsidRDefault="00094628" w:rsidP="00094628">
            <w:pPr>
              <w:rPr>
                <w:b/>
                <w:color w:val="000000"/>
              </w:rPr>
            </w:pPr>
          </w:p>
          <w:p w:rsidR="00094628" w:rsidRPr="008817A3" w:rsidRDefault="00094628" w:rsidP="00094628">
            <w:pPr>
              <w:outlineLvl w:val="0"/>
              <w:rPr>
                <w:b/>
                <w:color w:val="000000"/>
              </w:rPr>
            </w:pPr>
            <w:r w:rsidRPr="008817A3">
              <w:rPr>
                <w:b/>
                <w:color w:val="000000"/>
              </w:rPr>
              <w:t xml:space="preserve">Notes on the quarterly report – </w:t>
            </w:r>
            <w:r w:rsidR="00516714" w:rsidRPr="008817A3">
              <w:rPr>
                <w:b/>
                <w:color w:val="000000"/>
                <w:sz w:val="22"/>
                <w:szCs w:val="22"/>
              </w:rPr>
              <w:t>3</w:t>
            </w:r>
            <w:r w:rsidR="003A6677" w:rsidRPr="008817A3">
              <w:rPr>
                <w:b/>
                <w:color w:val="000000"/>
                <w:sz w:val="22"/>
                <w:szCs w:val="22"/>
              </w:rPr>
              <w:t>1 July</w:t>
            </w:r>
            <w:r w:rsidR="00516714" w:rsidRPr="008817A3">
              <w:rPr>
                <w:b/>
                <w:color w:val="000000"/>
                <w:sz w:val="22"/>
                <w:szCs w:val="22"/>
              </w:rPr>
              <w:t xml:space="preserve"> 201</w:t>
            </w:r>
            <w:r w:rsidR="000A694B" w:rsidRPr="008817A3">
              <w:rPr>
                <w:b/>
                <w:color w:val="000000"/>
                <w:sz w:val="22"/>
                <w:szCs w:val="22"/>
              </w:rPr>
              <w:t>4</w:t>
            </w:r>
          </w:p>
          <w:p w:rsidR="00094628" w:rsidRPr="008817A3" w:rsidRDefault="00094628" w:rsidP="00094628">
            <w:pPr>
              <w:pBdr>
                <w:bottom w:val="single" w:sz="4" w:space="1" w:color="auto"/>
              </w:pBdr>
              <w:ind w:left="720" w:hanging="720"/>
              <w:jc w:val="both"/>
              <w:rPr>
                <w:b/>
                <w:color w:val="000000"/>
              </w:rPr>
            </w:pPr>
            <w:r w:rsidRPr="008817A3">
              <w:rPr>
                <w:b/>
                <w:color w:val="000000"/>
              </w:rPr>
              <w:tab/>
            </w:r>
            <w:r w:rsidRPr="008817A3">
              <w:rPr>
                <w:b/>
                <w:color w:val="000000"/>
              </w:rPr>
              <w:tab/>
            </w:r>
            <w:r w:rsidRPr="008817A3">
              <w:rPr>
                <w:b/>
                <w:color w:val="000000"/>
              </w:rPr>
              <w:tab/>
            </w:r>
            <w:r w:rsidRPr="008817A3">
              <w:rPr>
                <w:b/>
                <w:color w:val="000000"/>
              </w:rPr>
              <w:tab/>
            </w:r>
            <w:r w:rsidRPr="008817A3">
              <w:rPr>
                <w:b/>
                <w:color w:val="000000"/>
              </w:rPr>
              <w:tab/>
            </w:r>
            <w:r w:rsidRPr="008817A3">
              <w:rPr>
                <w:b/>
                <w:color w:val="000000"/>
              </w:rPr>
              <w:tab/>
            </w:r>
            <w:r w:rsidRPr="008817A3">
              <w:rPr>
                <w:b/>
                <w:color w:val="000000"/>
              </w:rPr>
              <w:tab/>
            </w:r>
            <w:r w:rsidRPr="008817A3">
              <w:rPr>
                <w:b/>
                <w:color w:val="000000"/>
              </w:rPr>
              <w:tab/>
            </w:r>
          </w:p>
          <w:p w:rsidR="00094628" w:rsidRPr="008817A3" w:rsidRDefault="00094628" w:rsidP="00094628">
            <w:pPr>
              <w:rPr>
                <w:b/>
                <w:color w:val="000000"/>
              </w:rPr>
            </w:pPr>
          </w:p>
          <w:p w:rsidR="00D019E9" w:rsidRPr="008817A3" w:rsidRDefault="00D019E9" w:rsidP="00B34D60">
            <w:pPr>
              <w:tabs>
                <w:tab w:val="left" w:pos="432"/>
              </w:tabs>
              <w:ind w:left="522" w:hanging="540"/>
              <w:rPr>
                <w:b/>
                <w:color w:val="000000"/>
              </w:rPr>
            </w:pPr>
          </w:p>
          <w:p w:rsidR="00B34D60" w:rsidRPr="008817A3" w:rsidRDefault="00B34D60" w:rsidP="00B34D60">
            <w:pPr>
              <w:tabs>
                <w:tab w:val="left" w:pos="432"/>
              </w:tabs>
              <w:ind w:left="522" w:hanging="540"/>
              <w:rPr>
                <w:b/>
                <w:color w:val="000000"/>
              </w:rPr>
            </w:pPr>
            <w:r w:rsidRPr="008817A3">
              <w:rPr>
                <w:b/>
                <w:color w:val="000000"/>
              </w:rPr>
              <w:t>A9.    Valuation of Property, Plant &amp; Equipment</w:t>
            </w:r>
          </w:p>
          <w:p w:rsidR="00B34D60" w:rsidRPr="008817A3" w:rsidRDefault="00B34D60" w:rsidP="00DD3C30">
            <w:pPr>
              <w:ind w:left="522" w:hanging="540"/>
              <w:rPr>
                <w:b/>
                <w:color w:val="000000"/>
              </w:rPr>
            </w:pPr>
          </w:p>
          <w:p w:rsidR="00B34D60" w:rsidRPr="008817A3" w:rsidRDefault="009A5365" w:rsidP="00B34D60">
            <w:pPr>
              <w:ind w:left="522" w:hanging="450"/>
              <w:jc w:val="both"/>
              <w:rPr>
                <w:color w:val="000000"/>
              </w:rPr>
            </w:pPr>
            <w:r w:rsidRPr="008817A3">
              <w:rPr>
                <w:color w:val="000000"/>
              </w:rPr>
              <w:t xml:space="preserve">        Based on the latest </w:t>
            </w:r>
            <w:r w:rsidR="00B34D60" w:rsidRPr="008817A3">
              <w:rPr>
                <w:color w:val="000000"/>
              </w:rPr>
              <w:t>up</w:t>
            </w:r>
            <w:r w:rsidRPr="008817A3">
              <w:rPr>
                <w:color w:val="000000"/>
              </w:rPr>
              <w:t>-</w:t>
            </w:r>
            <w:r w:rsidR="00B34D60" w:rsidRPr="008817A3">
              <w:rPr>
                <w:color w:val="000000"/>
              </w:rPr>
              <w:t xml:space="preserve">dated </w:t>
            </w:r>
            <w:r w:rsidRPr="008817A3">
              <w:rPr>
                <w:color w:val="000000"/>
              </w:rPr>
              <w:t>professional valuer’s report</w:t>
            </w:r>
            <w:r w:rsidR="000C4DA9" w:rsidRPr="008817A3">
              <w:rPr>
                <w:color w:val="000000"/>
              </w:rPr>
              <w:t xml:space="preserve">, </w:t>
            </w:r>
            <w:r w:rsidR="00B34D60" w:rsidRPr="008817A3">
              <w:rPr>
                <w:color w:val="000000"/>
              </w:rPr>
              <w:t xml:space="preserve">no provision for diminution in value </w:t>
            </w:r>
            <w:r w:rsidR="008B7DE8" w:rsidRPr="008817A3">
              <w:rPr>
                <w:color w:val="000000"/>
              </w:rPr>
              <w:t xml:space="preserve">of the Group’s investment properties </w:t>
            </w:r>
            <w:r w:rsidR="00B34D60" w:rsidRPr="008817A3">
              <w:rPr>
                <w:color w:val="000000"/>
              </w:rPr>
              <w:t>is required as the</w:t>
            </w:r>
            <w:r w:rsidR="008B7DE8" w:rsidRPr="008817A3">
              <w:rPr>
                <w:color w:val="000000"/>
              </w:rPr>
              <w:t>ir</w:t>
            </w:r>
            <w:r w:rsidR="00195A95">
              <w:rPr>
                <w:color w:val="000000"/>
              </w:rPr>
              <w:t xml:space="preserve"> </w:t>
            </w:r>
            <w:r w:rsidR="008B7DE8" w:rsidRPr="008817A3">
              <w:rPr>
                <w:color w:val="000000"/>
              </w:rPr>
              <w:t xml:space="preserve">overall </w:t>
            </w:r>
            <w:r w:rsidR="00B34D60" w:rsidRPr="008817A3">
              <w:rPr>
                <w:color w:val="000000"/>
              </w:rPr>
              <w:t>market value</w:t>
            </w:r>
            <w:r w:rsidR="008B7DE8" w:rsidRPr="008817A3">
              <w:rPr>
                <w:color w:val="000000"/>
              </w:rPr>
              <w:t xml:space="preserve">s are </w:t>
            </w:r>
            <w:r w:rsidR="00B34D60" w:rsidRPr="008817A3">
              <w:rPr>
                <w:color w:val="000000"/>
              </w:rPr>
              <w:t>much higher than that of the previous report.</w:t>
            </w:r>
          </w:p>
          <w:p w:rsidR="00B34D60" w:rsidRPr="008817A3" w:rsidRDefault="00B34D60" w:rsidP="00DD3C30">
            <w:pPr>
              <w:ind w:left="522" w:hanging="540"/>
              <w:rPr>
                <w:color w:val="000000"/>
              </w:rPr>
            </w:pPr>
          </w:p>
          <w:p w:rsidR="00B34D60" w:rsidRPr="008817A3" w:rsidRDefault="00B34D60" w:rsidP="00B34D60">
            <w:pPr>
              <w:rPr>
                <w:color w:val="000000"/>
              </w:rPr>
            </w:pPr>
          </w:p>
          <w:p w:rsidR="00B068C4" w:rsidRPr="008817A3" w:rsidRDefault="00B34D60" w:rsidP="00B34D60">
            <w:pPr>
              <w:rPr>
                <w:b/>
                <w:color w:val="000000"/>
              </w:rPr>
            </w:pPr>
            <w:r w:rsidRPr="008817A3">
              <w:rPr>
                <w:b/>
                <w:color w:val="000000"/>
              </w:rPr>
              <w:t xml:space="preserve">A10.   </w:t>
            </w:r>
            <w:r w:rsidR="00836791" w:rsidRPr="008817A3">
              <w:rPr>
                <w:b/>
                <w:color w:val="000000"/>
              </w:rPr>
              <w:t>Material P</w:t>
            </w:r>
            <w:r w:rsidR="00B068C4" w:rsidRPr="008817A3">
              <w:rPr>
                <w:b/>
                <w:color w:val="000000"/>
              </w:rPr>
              <w:t xml:space="preserve">ost Reporting </w:t>
            </w:r>
            <w:r w:rsidR="00573399" w:rsidRPr="008817A3">
              <w:rPr>
                <w:b/>
                <w:color w:val="000000"/>
              </w:rPr>
              <w:t>Q</w:t>
            </w:r>
            <w:r w:rsidR="00B068C4" w:rsidRPr="008817A3">
              <w:rPr>
                <w:b/>
                <w:color w:val="000000"/>
              </w:rPr>
              <w:t>uarter events</w:t>
            </w:r>
          </w:p>
          <w:p w:rsidR="00B068C4" w:rsidRPr="008817A3" w:rsidRDefault="00B068C4" w:rsidP="00B068C4">
            <w:pPr>
              <w:jc w:val="both"/>
              <w:rPr>
                <w:color w:val="000000"/>
              </w:rPr>
            </w:pPr>
          </w:p>
          <w:p w:rsidR="008A4CE1" w:rsidRPr="008817A3" w:rsidRDefault="008B7DE8" w:rsidP="00B068C4">
            <w:pPr>
              <w:ind w:left="612"/>
              <w:jc w:val="both"/>
              <w:rPr>
                <w:color w:val="000000"/>
              </w:rPr>
            </w:pPr>
            <w:r w:rsidRPr="008817A3">
              <w:rPr>
                <w:color w:val="000000"/>
              </w:rPr>
              <w:t>The Company’s corporate exercise involving proposed par value reduction via t</w:t>
            </w:r>
            <w:r w:rsidR="00E86588" w:rsidRPr="008817A3">
              <w:rPr>
                <w:color w:val="000000"/>
              </w:rPr>
              <w:t>he cancellation of RM0.90 of the</w:t>
            </w:r>
            <w:r w:rsidRPr="008817A3">
              <w:rPr>
                <w:color w:val="000000"/>
              </w:rPr>
              <w:t xml:space="preserve"> par value of every existing ordi</w:t>
            </w:r>
            <w:r w:rsidR="00E86588" w:rsidRPr="008817A3">
              <w:rPr>
                <w:color w:val="000000"/>
              </w:rPr>
              <w:t>nary share of RM1.00 each in its</w:t>
            </w:r>
            <w:r w:rsidRPr="008817A3">
              <w:rPr>
                <w:color w:val="000000"/>
              </w:rPr>
              <w:t xml:space="preserve"> issued and paid-up share capital </w:t>
            </w:r>
            <w:r w:rsidR="00E86588" w:rsidRPr="008817A3">
              <w:rPr>
                <w:color w:val="000000"/>
              </w:rPr>
              <w:t xml:space="preserve">pursuant to Section 64 of the Companies Act, 1965, proposed private placement of up to 20% of the issued and paid-up share capital, proposed diversification of the existing core businesses of the Company and its subsidiaries to include mining and </w:t>
            </w:r>
            <w:r w:rsidR="00836791" w:rsidRPr="008817A3">
              <w:rPr>
                <w:color w:val="000000"/>
              </w:rPr>
              <w:t xml:space="preserve">its </w:t>
            </w:r>
            <w:r w:rsidR="00E86588" w:rsidRPr="008817A3">
              <w:rPr>
                <w:color w:val="000000"/>
              </w:rPr>
              <w:t>related activities and proposed amendments to the Memorandum and Articles of Association of the Company had been approved by the shareholders at the extraordinary general meeting held on 09 September, 2014.</w:t>
            </w:r>
            <w:r w:rsidR="00D26C9B" w:rsidRPr="008817A3">
              <w:rPr>
                <w:lang w:val="en-GB"/>
              </w:rPr>
              <w:t>T</w:t>
            </w:r>
            <w:r w:rsidR="00836791" w:rsidRPr="008817A3">
              <w:rPr>
                <w:lang w:val="en-GB"/>
              </w:rPr>
              <w:t xml:space="preserve">he High Court of Malaya had on 22 September 2014 granted an order confirming the </w:t>
            </w:r>
            <w:r w:rsidR="00D26C9B" w:rsidRPr="008817A3">
              <w:rPr>
                <w:lang w:val="en-GB"/>
              </w:rPr>
              <w:t>said par value r</w:t>
            </w:r>
            <w:r w:rsidR="00836791" w:rsidRPr="008817A3">
              <w:rPr>
                <w:lang w:val="en-GB"/>
              </w:rPr>
              <w:t>eduction</w:t>
            </w:r>
            <w:r w:rsidR="00D26C9B" w:rsidRPr="008817A3">
              <w:rPr>
                <w:lang w:val="en-GB"/>
              </w:rPr>
              <w:t>. Subsequent to the above which were duly announced to BURSA, the Company had on 24 September, 2014, through RHB Investment Bank Berhad, announced the adjusted exercise price of the outstanding warrants B - 2008/2018 pursuant to the said par value reduction.</w:t>
            </w:r>
          </w:p>
          <w:p w:rsidR="008A4CE1" w:rsidRPr="008817A3" w:rsidRDefault="008A4CE1" w:rsidP="00B068C4">
            <w:pPr>
              <w:ind w:left="612"/>
              <w:jc w:val="both"/>
              <w:rPr>
                <w:color w:val="000000"/>
              </w:rPr>
            </w:pPr>
          </w:p>
          <w:p w:rsidR="00B34D60" w:rsidRPr="008817A3" w:rsidRDefault="008A4CE1" w:rsidP="008A4CE1">
            <w:pPr>
              <w:jc w:val="both"/>
              <w:rPr>
                <w:b/>
                <w:color w:val="000000"/>
              </w:rPr>
            </w:pPr>
            <w:r w:rsidRPr="008817A3">
              <w:rPr>
                <w:b/>
                <w:color w:val="000000"/>
              </w:rPr>
              <w:t>A11. Changes in Composition of the Group</w:t>
            </w:r>
          </w:p>
          <w:p w:rsidR="008A4CE1" w:rsidRPr="008817A3" w:rsidRDefault="008A4CE1" w:rsidP="008A4CE1">
            <w:pPr>
              <w:jc w:val="both"/>
              <w:rPr>
                <w:b/>
                <w:color w:val="000000"/>
              </w:rPr>
            </w:pPr>
          </w:p>
          <w:p w:rsidR="008A4CE1" w:rsidRPr="008817A3" w:rsidRDefault="008A4CE1" w:rsidP="001850C5">
            <w:pPr>
              <w:tabs>
                <w:tab w:val="left" w:pos="612"/>
              </w:tabs>
              <w:ind w:firstLine="612"/>
              <w:rPr>
                <w:color w:val="000000"/>
              </w:rPr>
            </w:pPr>
            <w:r w:rsidRPr="008817A3">
              <w:rPr>
                <w:color w:val="000000"/>
              </w:rPr>
              <w:t>There were no changes in the composition of the Group for the current quarter and</w:t>
            </w:r>
            <w:r w:rsidR="001850C5" w:rsidRPr="008817A3">
              <w:rPr>
                <w:color w:val="000000"/>
              </w:rPr>
              <w:t xml:space="preserve"> financial </w:t>
            </w:r>
          </w:p>
          <w:p w:rsidR="008A4CE1" w:rsidRPr="008817A3" w:rsidRDefault="008A4CE1" w:rsidP="001850C5">
            <w:pPr>
              <w:tabs>
                <w:tab w:val="left" w:pos="612"/>
              </w:tabs>
              <w:ind w:firstLine="612"/>
              <w:rPr>
                <w:color w:val="000000"/>
              </w:rPr>
            </w:pPr>
            <w:r w:rsidRPr="008817A3">
              <w:rPr>
                <w:color w:val="000000"/>
              </w:rPr>
              <w:t>year to date.</w:t>
            </w:r>
          </w:p>
          <w:p w:rsidR="008A4CE1" w:rsidRPr="008817A3" w:rsidRDefault="008A4CE1" w:rsidP="008A4CE1">
            <w:pPr>
              <w:tabs>
                <w:tab w:val="left" w:pos="612"/>
              </w:tabs>
              <w:ind w:firstLine="612"/>
              <w:jc w:val="both"/>
              <w:rPr>
                <w:color w:val="000000"/>
              </w:rPr>
            </w:pPr>
          </w:p>
          <w:p w:rsidR="008A4CE1" w:rsidRPr="008817A3" w:rsidRDefault="008A4CE1" w:rsidP="008A4CE1">
            <w:pPr>
              <w:tabs>
                <w:tab w:val="left" w:pos="612"/>
              </w:tabs>
              <w:jc w:val="both"/>
              <w:rPr>
                <w:color w:val="000000"/>
              </w:rPr>
            </w:pPr>
          </w:p>
          <w:p w:rsidR="008A4CE1" w:rsidRPr="008817A3" w:rsidRDefault="008A4CE1" w:rsidP="008A4CE1">
            <w:pPr>
              <w:tabs>
                <w:tab w:val="left" w:pos="612"/>
              </w:tabs>
              <w:jc w:val="both"/>
              <w:rPr>
                <w:b/>
                <w:color w:val="000000"/>
              </w:rPr>
            </w:pPr>
            <w:r w:rsidRPr="008817A3">
              <w:rPr>
                <w:b/>
                <w:color w:val="000000"/>
              </w:rPr>
              <w:t>A12.  Changes in Contingent Liabilities or Contingent Assets</w:t>
            </w:r>
          </w:p>
          <w:p w:rsidR="008A4CE1" w:rsidRPr="008817A3" w:rsidRDefault="008A4CE1" w:rsidP="008A4CE1">
            <w:pPr>
              <w:tabs>
                <w:tab w:val="left" w:pos="612"/>
              </w:tabs>
              <w:jc w:val="both"/>
              <w:rPr>
                <w:color w:val="000000"/>
              </w:rPr>
            </w:pPr>
          </w:p>
          <w:p w:rsidR="008A4CE1" w:rsidRPr="008817A3" w:rsidRDefault="008A4CE1" w:rsidP="008A4CE1">
            <w:pPr>
              <w:tabs>
                <w:tab w:val="left" w:pos="612"/>
              </w:tabs>
              <w:ind w:firstLine="612"/>
              <w:jc w:val="both"/>
              <w:rPr>
                <w:color w:val="000000"/>
              </w:rPr>
            </w:pPr>
            <w:r w:rsidRPr="008817A3">
              <w:rPr>
                <w:color w:val="000000"/>
              </w:rPr>
              <w:t xml:space="preserve">There were no changes in contingent liabilities or contingent assets of the Group during the </w:t>
            </w:r>
          </w:p>
          <w:p w:rsidR="008A4CE1" w:rsidRPr="008817A3" w:rsidRDefault="008A4CE1" w:rsidP="008A4CE1">
            <w:pPr>
              <w:tabs>
                <w:tab w:val="left" w:pos="612"/>
              </w:tabs>
              <w:ind w:firstLine="612"/>
              <w:jc w:val="both"/>
              <w:rPr>
                <w:color w:val="000000"/>
              </w:rPr>
            </w:pPr>
            <w:r w:rsidRPr="008817A3">
              <w:rPr>
                <w:color w:val="000000"/>
              </w:rPr>
              <w:t>quarter under review.</w:t>
            </w:r>
          </w:p>
          <w:p w:rsidR="008A4CE1" w:rsidRPr="008817A3" w:rsidRDefault="008A4CE1" w:rsidP="008A4CE1">
            <w:pPr>
              <w:jc w:val="both"/>
              <w:rPr>
                <w:color w:val="000000"/>
              </w:rPr>
            </w:pPr>
          </w:p>
          <w:p w:rsidR="008A4CE1" w:rsidRPr="008817A3" w:rsidRDefault="008A4CE1" w:rsidP="008A4CE1">
            <w:pPr>
              <w:jc w:val="both"/>
              <w:rPr>
                <w:color w:val="000000"/>
              </w:rPr>
            </w:pPr>
          </w:p>
          <w:p w:rsidR="00B34D60" w:rsidRPr="008817A3" w:rsidRDefault="008A4CE1" w:rsidP="008A4CE1">
            <w:pPr>
              <w:jc w:val="both"/>
              <w:rPr>
                <w:b/>
                <w:color w:val="000000"/>
              </w:rPr>
            </w:pPr>
            <w:r w:rsidRPr="008817A3">
              <w:rPr>
                <w:b/>
                <w:color w:val="000000"/>
              </w:rPr>
              <w:t>A13.  Acquisitions and disposals of property, plant and equipment</w:t>
            </w:r>
          </w:p>
          <w:p w:rsidR="008A4CE1" w:rsidRPr="008817A3" w:rsidRDefault="008A4CE1" w:rsidP="008A4CE1">
            <w:pPr>
              <w:jc w:val="both"/>
              <w:rPr>
                <w:color w:val="000000"/>
              </w:rPr>
            </w:pPr>
          </w:p>
          <w:p w:rsidR="008A4CE1" w:rsidRPr="008817A3" w:rsidRDefault="008A4CE1" w:rsidP="008A4CE1">
            <w:pPr>
              <w:jc w:val="both"/>
              <w:rPr>
                <w:color w:val="000000"/>
              </w:rPr>
            </w:pPr>
            <w:r w:rsidRPr="008817A3">
              <w:rPr>
                <w:color w:val="000000"/>
              </w:rPr>
              <w:t xml:space="preserve">          There were no material acquisition or disposal of any major property, plant and equipment</w:t>
            </w:r>
          </w:p>
          <w:p w:rsidR="00F321A5" w:rsidRDefault="008A4CE1" w:rsidP="008A4CE1">
            <w:pPr>
              <w:jc w:val="both"/>
              <w:rPr>
                <w:color w:val="000000"/>
              </w:rPr>
            </w:pPr>
            <w:r w:rsidRPr="008817A3">
              <w:rPr>
                <w:color w:val="000000"/>
              </w:rPr>
              <w:t xml:space="preserve">          of the Group other than those in the ordinary course of business during the quarter under</w:t>
            </w:r>
          </w:p>
          <w:p w:rsidR="008A4CE1" w:rsidRPr="008817A3" w:rsidRDefault="008A4CE1" w:rsidP="008A4CE1">
            <w:pPr>
              <w:jc w:val="both"/>
              <w:rPr>
                <w:color w:val="000000"/>
              </w:rPr>
            </w:pPr>
            <w:r w:rsidRPr="008817A3">
              <w:rPr>
                <w:color w:val="000000"/>
              </w:rPr>
              <w:t>review.</w:t>
            </w:r>
          </w:p>
          <w:p w:rsidR="0095202D" w:rsidRPr="008817A3" w:rsidRDefault="0095202D" w:rsidP="008A4CE1">
            <w:pPr>
              <w:jc w:val="both"/>
              <w:rPr>
                <w:color w:val="000000"/>
              </w:rPr>
            </w:pPr>
          </w:p>
          <w:p w:rsidR="0095202D" w:rsidRPr="008817A3" w:rsidRDefault="0095202D" w:rsidP="008A4CE1">
            <w:pPr>
              <w:jc w:val="both"/>
              <w:rPr>
                <w:color w:val="000000"/>
              </w:rPr>
            </w:pPr>
          </w:p>
          <w:p w:rsidR="0095202D" w:rsidRPr="008817A3" w:rsidRDefault="0095202D" w:rsidP="008A4CE1">
            <w:pPr>
              <w:jc w:val="both"/>
              <w:rPr>
                <w:b/>
                <w:color w:val="000000"/>
              </w:rPr>
            </w:pPr>
            <w:r w:rsidRPr="008817A3">
              <w:rPr>
                <w:b/>
                <w:color w:val="000000"/>
              </w:rPr>
              <w:t>A14.  Capital Commitment</w:t>
            </w:r>
          </w:p>
          <w:p w:rsidR="0095202D" w:rsidRPr="008817A3" w:rsidRDefault="0095202D" w:rsidP="008A4CE1">
            <w:pPr>
              <w:jc w:val="both"/>
              <w:rPr>
                <w:color w:val="000000"/>
              </w:rPr>
            </w:pPr>
          </w:p>
          <w:p w:rsidR="0095202D" w:rsidRPr="008817A3" w:rsidRDefault="0095202D" w:rsidP="008A4CE1">
            <w:pPr>
              <w:jc w:val="both"/>
              <w:rPr>
                <w:color w:val="000000"/>
              </w:rPr>
            </w:pPr>
            <w:r w:rsidRPr="008817A3">
              <w:rPr>
                <w:color w:val="000000"/>
              </w:rPr>
              <w:t xml:space="preserve">          There were no material commitment of the Group for the quarter under review.</w:t>
            </w:r>
          </w:p>
          <w:p w:rsidR="00573399" w:rsidRPr="008817A3" w:rsidRDefault="00573399" w:rsidP="008A4CE1">
            <w:pPr>
              <w:jc w:val="both"/>
              <w:rPr>
                <w:color w:val="000000"/>
              </w:rPr>
            </w:pPr>
          </w:p>
          <w:p w:rsidR="00221BA0" w:rsidRDefault="00221BA0" w:rsidP="00F54E32">
            <w:pPr>
              <w:outlineLvl w:val="0"/>
              <w:rPr>
                <w:b/>
                <w:color w:val="000000"/>
              </w:rPr>
            </w:pPr>
          </w:p>
          <w:p w:rsidR="00F54E32" w:rsidRPr="008817A3" w:rsidRDefault="00221BA0" w:rsidP="00F54E32">
            <w:pPr>
              <w:outlineLvl w:val="0"/>
              <w:rPr>
                <w:b/>
                <w:color w:val="000000"/>
              </w:rPr>
            </w:pPr>
            <w:r>
              <w:rPr>
                <w:b/>
                <w:color w:val="000000"/>
              </w:rPr>
              <w:lastRenderedPageBreak/>
              <w:t>B</w:t>
            </w:r>
            <w:r w:rsidR="00F54E32" w:rsidRPr="008817A3">
              <w:rPr>
                <w:b/>
                <w:color w:val="000000"/>
              </w:rPr>
              <w:t>ORNEO OIL BERHAD</w:t>
            </w:r>
          </w:p>
          <w:p w:rsidR="00F54E32" w:rsidRPr="008817A3" w:rsidRDefault="00F54E32" w:rsidP="00F54E32">
            <w:pPr>
              <w:rPr>
                <w:i/>
                <w:color w:val="000000"/>
              </w:rPr>
            </w:pPr>
            <w:r w:rsidRPr="008817A3">
              <w:rPr>
                <w:i/>
                <w:color w:val="000000"/>
              </w:rPr>
              <w:t>(Company No. 121919-H)</w:t>
            </w:r>
          </w:p>
          <w:p w:rsidR="00F54E32" w:rsidRPr="008817A3" w:rsidRDefault="00F54E32" w:rsidP="00F54E32">
            <w:pPr>
              <w:outlineLvl w:val="0"/>
              <w:rPr>
                <w:b/>
                <w:color w:val="000000"/>
              </w:rPr>
            </w:pPr>
            <w:r w:rsidRPr="008817A3">
              <w:rPr>
                <w:b/>
                <w:color w:val="000000"/>
              </w:rPr>
              <w:t>Incorporated in Malaysia</w:t>
            </w:r>
          </w:p>
          <w:p w:rsidR="00F54E32" w:rsidRPr="008817A3" w:rsidRDefault="00F54E32" w:rsidP="00F54E32">
            <w:pPr>
              <w:rPr>
                <w:b/>
                <w:color w:val="000000"/>
              </w:rPr>
            </w:pPr>
          </w:p>
          <w:p w:rsidR="00F54E32" w:rsidRPr="008817A3" w:rsidRDefault="00F54E32" w:rsidP="00F54E32">
            <w:pPr>
              <w:outlineLvl w:val="0"/>
              <w:rPr>
                <w:b/>
                <w:color w:val="000000"/>
              </w:rPr>
            </w:pPr>
            <w:r w:rsidRPr="008817A3">
              <w:rPr>
                <w:b/>
                <w:color w:val="000000"/>
              </w:rPr>
              <w:t xml:space="preserve">Notes on the quarterly report – </w:t>
            </w:r>
            <w:r w:rsidR="00BF153A" w:rsidRPr="008817A3">
              <w:rPr>
                <w:b/>
                <w:color w:val="000000"/>
                <w:sz w:val="22"/>
                <w:szCs w:val="22"/>
              </w:rPr>
              <w:t>3</w:t>
            </w:r>
            <w:r w:rsidR="003A6677" w:rsidRPr="008817A3">
              <w:rPr>
                <w:b/>
                <w:color w:val="000000"/>
                <w:sz w:val="22"/>
                <w:szCs w:val="22"/>
              </w:rPr>
              <w:t>1 July</w:t>
            </w:r>
            <w:r w:rsidRPr="008817A3">
              <w:rPr>
                <w:b/>
                <w:color w:val="000000"/>
                <w:sz w:val="22"/>
                <w:szCs w:val="22"/>
              </w:rPr>
              <w:t xml:space="preserve"> 2014</w:t>
            </w:r>
          </w:p>
          <w:p w:rsidR="00573399" w:rsidRPr="008817A3" w:rsidRDefault="00573399" w:rsidP="00F57695">
            <w:pPr>
              <w:pBdr>
                <w:bottom w:val="single" w:sz="4" w:space="1" w:color="auto"/>
              </w:pBdr>
              <w:rPr>
                <w:color w:val="000000"/>
              </w:rPr>
            </w:pPr>
          </w:p>
          <w:p w:rsidR="00F54E32" w:rsidRPr="008817A3" w:rsidRDefault="00F54E32" w:rsidP="00B34D60">
            <w:pPr>
              <w:rPr>
                <w:b/>
                <w:color w:val="000000"/>
                <w:u w:val="single"/>
              </w:rPr>
            </w:pPr>
          </w:p>
          <w:p w:rsidR="00820786" w:rsidRPr="008817A3" w:rsidRDefault="00820786" w:rsidP="00DD3C30">
            <w:pPr>
              <w:ind w:left="522" w:hanging="540"/>
              <w:rPr>
                <w:b/>
                <w:color w:val="000000"/>
              </w:rPr>
            </w:pPr>
          </w:p>
          <w:p w:rsidR="00DD3C30" w:rsidRPr="008817A3" w:rsidRDefault="00094628" w:rsidP="008817A3">
            <w:pPr>
              <w:ind w:left="342" w:hanging="360"/>
              <w:rPr>
                <w:b/>
                <w:color w:val="000000"/>
              </w:rPr>
            </w:pPr>
            <w:r w:rsidRPr="008817A3">
              <w:rPr>
                <w:b/>
                <w:color w:val="000000"/>
              </w:rPr>
              <w:t xml:space="preserve">B.ADDITIONAL INFORMATION REQUIRED BY BURSA MALAYSIA </w:t>
            </w:r>
            <w:r w:rsidR="00471C1F" w:rsidRPr="008817A3">
              <w:rPr>
                <w:b/>
                <w:color w:val="000000"/>
              </w:rPr>
              <w:t xml:space="preserve">SECURITIES BERHAD </w:t>
            </w:r>
            <w:r w:rsidRPr="008817A3">
              <w:rPr>
                <w:b/>
                <w:color w:val="000000"/>
              </w:rPr>
              <w:t>LISTING REQUIREMENTS</w:t>
            </w:r>
          </w:p>
          <w:p w:rsidR="00094628" w:rsidRPr="008817A3" w:rsidRDefault="00094628" w:rsidP="00DD3C30">
            <w:pPr>
              <w:ind w:left="612" w:hanging="630"/>
              <w:rPr>
                <w:color w:val="000000"/>
              </w:rPr>
            </w:pPr>
          </w:p>
          <w:p w:rsidR="00FE113C" w:rsidRPr="008817A3" w:rsidRDefault="00FE113C" w:rsidP="00DD3C30">
            <w:pPr>
              <w:ind w:left="612" w:hanging="630"/>
              <w:rPr>
                <w:color w:val="000000"/>
              </w:rPr>
            </w:pPr>
          </w:p>
          <w:p w:rsidR="00094628" w:rsidRPr="008817A3" w:rsidRDefault="00094628" w:rsidP="00DD3C30">
            <w:pPr>
              <w:tabs>
                <w:tab w:val="left" w:pos="-18"/>
                <w:tab w:val="left" w:pos="612"/>
                <w:tab w:val="left" w:pos="1872"/>
                <w:tab w:val="left" w:pos="2052"/>
              </w:tabs>
              <w:ind w:left="612" w:right="162" w:hanging="630"/>
              <w:rPr>
                <w:b/>
                <w:color w:val="000000"/>
              </w:rPr>
            </w:pPr>
            <w:r w:rsidRPr="008817A3">
              <w:rPr>
                <w:b/>
                <w:color w:val="000000"/>
              </w:rPr>
              <w:t xml:space="preserve">B1. </w:t>
            </w:r>
            <w:r w:rsidR="008C697C" w:rsidRPr="008817A3">
              <w:rPr>
                <w:b/>
                <w:color w:val="000000"/>
              </w:rPr>
              <w:t xml:space="preserve">Review of </w:t>
            </w:r>
            <w:r w:rsidR="00DD3C30" w:rsidRPr="008817A3">
              <w:rPr>
                <w:b/>
                <w:color w:val="000000"/>
              </w:rPr>
              <w:t>Performance</w:t>
            </w:r>
          </w:p>
          <w:p w:rsidR="00C226C9" w:rsidRPr="008817A3" w:rsidRDefault="00C226C9" w:rsidP="00A330FA">
            <w:pPr>
              <w:pStyle w:val="BodyTextIndent"/>
              <w:ind w:left="0" w:firstLine="0"/>
              <w:jc w:val="both"/>
              <w:rPr>
                <w:color w:val="000000"/>
                <w:sz w:val="24"/>
                <w:szCs w:val="24"/>
              </w:rPr>
            </w:pPr>
          </w:p>
          <w:p w:rsidR="00A330FA" w:rsidRPr="008817A3" w:rsidRDefault="002966CF" w:rsidP="00B9184B">
            <w:pPr>
              <w:pStyle w:val="BodyTextIndent"/>
              <w:ind w:left="522" w:firstLine="0"/>
              <w:jc w:val="both"/>
              <w:rPr>
                <w:color w:val="000000"/>
                <w:sz w:val="24"/>
                <w:szCs w:val="24"/>
              </w:rPr>
            </w:pPr>
            <w:r w:rsidRPr="008817A3">
              <w:rPr>
                <w:color w:val="000000"/>
                <w:sz w:val="24"/>
                <w:szCs w:val="24"/>
              </w:rPr>
              <w:t xml:space="preserve">The Group performed remarkably well in the Quarter under review. While the Fast Food division continued with its consistent and impressive </w:t>
            </w:r>
            <w:r w:rsidR="000C4DA9" w:rsidRPr="008817A3">
              <w:rPr>
                <w:color w:val="000000"/>
                <w:sz w:val="24"/>
                <w:szCs w:val="24"/>
              </w:rPr>
              <w:t>performance</w:t>
            </w:r>
            <w:r w:rsidRPr="008817A3">
              <w:rPr>
                <w:color w:val="000000"/>
                <w:sz w:val="24"/>
                <w:szCs w:val="24"/>
              </w:rPr>
              <w:t>, the Group’s new venture in the gold mining activities performed satisfactorily as envisaged. This was in line with the objective of the corporate exercise undertaken by the Company as outlined in paragraph A10 above</w:t>
            </w:r>
            <w:r w:rsidR="00B9184B" w:rsidRPr="008817A3">
              <w:rPr>
                <w:color w:val="000000"/>
                <w:sz w:val="24"/>
                <w:szCs w:val="24"/>
              </w:rPr>
              <w:t xml:space="preserve"> in which</w:t>
            </w:r>
            <w:r w:rsidRPr="008817A3">
              <w:rPr>
                <w:color w:val="000000"/>
                <w:sz w:val="24"/>
                <w:szCs w:val="24"/>
              </w:rPr>
              <w:t xml:space="preserve"> gold mining and its related activities </w:t>
            </w:r>
            <w:r w:rsidR="00B9184B" w:rsidRPr="008817A3">
              <w:rPr>
                <w:color w:val="000000"/>
                <w:sz w:val="24"/>
                <w:szCs w:val="24"/>
              </w:rPr>
              <w:t xml:space="preserve">are expected to </w:t>
            </w:r>
            <w:r w:rsidRPr="008817A3">
              <w:rPr>
                <w:color w:val="000000"/>
                <w:sz w:val="24"/>
                <w:szCs w:val="24"/>
              </w:rPr>
              <w:t xml:space="preserve">replace </w:t>
            </w:r>
            <w:r w:rsidR="00B9184B" w:rsidRPr="008817A3">
              <w:rPr>
                <w:color w:val="000000"/>
                <w:sz w:val="24"/>
                <w:szCs w:val="24"/>
              </w:rPr>
              <w:t>the existing fast food operations as the Group’s core business in the future. T</w:t>
            </w:r>
            <w:r w:rsidR="00C226C9" w:rsidRPr="008817A3">
              <w:rPr>
                <w:color w:val="000000"/>
                <w:sz w:val="24"/>
                <w:szCs w:val="24"/>
              </w:rPr>
              <w:t xml:space="preserve">he </w:t>
            </w:r>
            <w:r w:rsidR="00B9184B" w:rsidRPr="008817A3">
              <w:rPr>
                <w:color w:val="000000"/>
                <w:sz w:val="24"/>
                <w:szCs w:val="24"/>
              </w:rPr>
              <w:t xml:space="preserve">other </w:t>
            </w:r>
            <w:r w:rsidR="00C226C9" w:rsidRPr="008817A3">
              <w:rPr>
                <w:color w:val="000000"/>
                <w:sz w:val="24"/>
                <w:szCs w:val="24"/>
              </w:rPr>
              <w:t>business</w:t>
            </w:r>
            <w:r w:rsidR="00B9184B" w:rsidRPr="008817A3">
              <w:rPr>
                <w:color w:val="000000"/>
                <w:sz w:val="24"/>
                <w:szCs w:val="24"/>
              </w:rPr>
              <w:t xml:space="preserve"> divisions of the Group also performed as planned.</w:t>
            </w:r>
          </w:p>
          <w:p w:rsidR="00B9184B" w:rsidRDefault="00B9184B" w:rsidP="00B9184B">
            <w:pPr>
              <w:pStyle w:val="BodyTextIndent"/>
              <w:ind w:left="522" w:firstLine="0"/>
              <w:jc w:val="both"/>
              <w:rPr>
                <w:color w:val="000000"/>
              </w:rPr>
            </w:pPr>
          </w:p>
          <w:p w:rsidR="008817A3" w:rsidRPr="008817A3" w:rsidRDefault="008817A3" w:rsidP="00B9184B">
            <w:pPr>
              <w:pStyle w:val="BodyTextIndent"/>
              <w:ind w:left="522" w:firstLine="0"/>
              <w:jc w:val="both"/>
              <w:rPr>
                <w:color w:val="000000"/>
              </w:rPr>
            </w:pPr>
          </w:p>
        </w:tc>
        <w:tc>
          <w:tcPr>
            <w:tcW w:w="1417" w:type="dxa"/>
            <w:gridSpan w:val="2"/>
            <w:vAlign w:val="bottom"/>
          </w:tcPr>
          <w:p w:rsidR="003F67D3" w:rsidRPr="00517955" w:rsidRDefault="00DD3C30" w:rsidP="008C697C">
            <w:pPr>
              <w:ind w:left="-9018" w:right="9319" w:firstLine="90"/>
              <w:rPr>
                <w:rFonts w:eastAsia="Arial Unicode MS"/>
                <w:color w:val="000000"/>
                <w:sz w:val="21"/>
                <w:szCs w:val="21"/>
              </w:rPr>
            </w:pPr>
            <w:r>
              <w:rPr>
                <w:rFonts w:eastAsia="Arial Unicode MS"/>
                <w:color w:val="000000"/>
                <w:sz w:val="21"/>
                <w:szCs w:val="21"/>
              </w:rPr>
              <w:lastRenderedPageBreak/>
              <w:t>The</w:t>
            </w:r>
          </w:p>
        </w:tc>
        <w:tc>
          <w:tcPr>
            <w:tcW w:w="691" w:type="dxa"/>
            <w:gridSpan w:val="2"/>
          </w:tcPr>
          <w:p w:rsidR="003F67D3" w:rsidRPr="00517955" w:rsidRDefault="003F67D3">
            <w:pPr>
              <w:jc w:val="right"/>
              <w:rPr>
                <w:rFonts w:eastAsia="Arial Unicode MS"/>
                <w:color w:val="000000"/>
                <w:sz w:val="21"/>
                <w:szCs w:val="21"/>
              </w:rPr>
            </w:pPr>
          </w:p>
        </w:tc>
        <w:tc>
          <w:tcPr>
            <w:tcW w:w="1403" w:type="dxa"/>
            <w:gridSpan w:val="2"/>
            <w:vAlign w:val="bottom"/>
          </w:tcPr>
          <w:p w:rsidR="008450D3" w:rsidRPr="00517955" w:rsidRDefault="008450D3" w:rsidP="008450D3">
            <w:pPr>
              <w:jc w:val="right"/>
              <w:rPr>
                <w:color w:val="000000"/>
                <w:sz w:val="21"/>
                <w:szCs w:val="21"/>
              </w:rPr>
            </w:pPr>
          </w:p>
        </w:tc>
      </w:tr>
      <w:tr w:rsidR="003F67D3" w:rsidRPr="00DD3C30" w:rsidTr="003F72F5">
        <w:trPr>
          <w:gridAfter w:val="1"/>
          <w:wAfter w:w="180" w:type="dxa"/>
          <w:trHeight w:val="282"/>
        </w:trPr>
        <w:tc>
          <w:tcPr>
            <w:tcW w:w="9720" w:type="dxa"/>
            <w:gridSpan w:val="4"/>
          </w:tcPr>
          <w:p w:rsidR="003F67D3" w:rsidRDefault="00DD3C30" w:rsidP="0055310E">
            <w:pPr>
              <w:ind w:left="-18"/>
              <w:jc w:val="both"/>
              <w:rPr>
                <w:b/>
                <w:color w:val="000000"/>
              </w:rPr>
            </w:pPr>
            <w:r w:rsidRPr="00DD3C30">
              <w:rPr>
                <w:b/>
                <w:color w:val="000000"/>
              </w:rPr>
              <w:lastRenderedPageBreak/>
              <w:t>B2</w:t>
            </w:r>
            <w:r w:rsidR="0055310E">
              <w:rPr>
                <w:b/>
                <w:color w:val="000000"/>
              </w:rPr>
              <w:t xml:space="preserve">.   </w:t>
            </w:r>
            <w:r w:rsidRPr="00DD3C30">
              <w:rPr>
                <w:b/>
                <w:color w:val="000000"/>
              </w:rPr>
              <w:t>Variation of results against preceding quarter</w:t>
            </w:r>
          </w:p>
          <w:p w:rsidR="00506C18" w:rsidRDefault="00506C18" w:rsidP="0055310E">
            <w:pPr>
              <w:ind w:left="-18"/>
              <w:jc w:val="both"/>
              <w:rPr>
                <w:b/>
                <w:color w:val="000000"/>
              </w:rPr>
            </w:pPr>
          </w:p>
          <w:p w:rsidR="00231277" w:rsidRPr="00506C18" w:rsidRDefault="002A79D1" w:rsidP="008817A3">
            <w:pPr>
              <w:tabs>
                <w:tab w:val="left" w:pos="522"/>
              </w:tabs>
              <w:ind w:left="522"/>
              <w:jc w:val="both"/>
              <w:rPr>
                <w:color w:val="000000"/>
              </w:rPr>
            </w:pPr>
            <w:r w:rsidRPr="008817A3">
              <w:rPr>
                <w:color w:val="000000"/>
              </w:rPr>
              <w:t xml:space="preserve">As can be </w:t>
            </w:r>
            <w:r w:rsidR="008817A3" w:rsidRPr="008817A3">
              <w:rPr>
                <w:color w:val="000000"/>
              </w:rPr>
              <w:t>noted in paragraph A8 - Segmental Information</w:t>
            </w:r>
            <w:r w:rsidRPr="008817A3">
              <w:rPr>
                <w:color w:val="000000"/>
              </w:rPr>
              <w:t>, the gold mining and its related activities contributed significantly in the Quarter under review. The division recorded a profit of RM</w:t>
            </w:r>
            <w:r w:rsidR="008817A3" w:rsidRPr="008817A3">
              <w:rPr>
                <w:color w:val="000000"/>
              </w:rPr>
              <w:t>2.79</w:t>
            </w:r>
            <w:r w:rsidRPr="008817A3">
              <w:rPr>
                <w:color w:val="000000"/>
              </w:rPr>
              <w:t xml:space="preserve"> million as compared to the initial loss </w:t>
            </w:r>
            <w:r w:rsidR="008817A3" w:rsidRPr="008817A3">
              <w:rPr>
                <w:color w:val="000000"/>
              </w:rPr>
              <w:t>in the preceding Quarter,</w:t>
            </w:r>
            <w:r w:rsidRPr="008817A3">
              <w:rPr>
                <w:color w:val="000000"/>
              </w:rPr>
              <w:t xml:space="preserve"> attributable to the various pre-operating and start-up costs and expenses incurred</w:t>
            </w:r>
            <w:r w:rsidR="008817A3" w:rsidRPr="008817A3">
              <w:rPr>
                <w:color w:val="000000"/>
              </w:rPr>
              <w:t>.</w:t>
            </w:r>
          </w:p>
        </w:tc>
        <w:tc>
          <w:tcPr>
            <w:tcW w:w="1417" w:type="dxa"/>
            <w:gridSpan w:val="2"/>
            <w:vAlign w:val="bottom"/>
          </w:tcPr>
          <w:p w:rsidR="003F67D3" w:rsidRPr="00DD3C30" w:rsidRDefault="00506C18" w:rsidP="008450D3">
            <w:pPr>
              <w:jc w:val="right"/>
              <w:rPr>
                <w:rFonts w:eastAsia="Arial Unicode MS"/>
                <w:color w:val="000000"/>
                <w:sz w:val="22"/>
                <w:szCs w:val="22"/>
              </w:rPr>
            </w:pPr>
            <w:r>
              <w:rPr>
                <w:rFonts w:eastAsia="Arial Unicode MS"/>
                <w:color w:val="000000"/>
                <w:sz w:val="22"/>
                <w:szCs w:val="22"/>
              </w:rPr>
              <w:t>Wi</w:t>
            </w:r>
          </w:p>
        </w:tc>
        <w:tc>
          <w:tcPr>
            <w:tcW w:w="691" w:type="dxa"/>
            <w:gridSpan w:val="2"/>
          </w:tcPr>
          <w:p w:rsidR="003F67D3" w:rsidRPr="00DD3C30" w:rsidRDefault="003F67D3">
            <w:pPr>
              <w:jc w:val="right"/>
              <w:rPr>
                <w:rFonts w:eastAsia="Arial Unicode MS"/>
                <w:color w:val="000000"/>
                <w:sz w:val="22"/>
                <w:szCs w:val="22"/>
              </w:rPr>
            </w:pPr>
          </w:p>
        </w:tc>
        <w:tc>
          <w:tcPr>
            <w:tcW w:w="1403" w:type="dxa"/>
            <w:gridSpan w:val="2"/>
            <w:vAlign w:val="bottom"/>
          </w:tcPr>
          <w:p w:rsidR="003F67D3" w:rsidRPr="00DD3C30" w:rsidRDefault="003F67D3" w:rsidP="008450D3">
            <w:pPr>
              <w:jc w:val="right"/>
              <w:rPr>
                <w:rFonts w:eastAsia="Arial Unicode MS"/>
                <w:color w:val="000000"/>
                <w:sz w:val="22"/>
                <w:szCs w:val="22"/>
              </w:rPr>
            </w:pPr>
          </w:p>
        </w:tc>
      </w:tr>
      <w:tr w:rsidR="003F67D3" w:rsidRPr="00DD3C30" w:rsidTr="00585ACF">
        <w:trPr>
          <w:gridAfter w:val="1"/>
          <w:wAfter w:w="180" w:type="dxa"/>
          <w:trHeight w:val="80"/>
        </w:trPr>
        <w:tc>
          <w:tcPr>
            <w:tcW w:w="9720" w:type="dxa"/>
            <w:gridSpan w:val="4"/>
          </w:tcPr>
          <w:p w:rsidR="003F67D3" w:rsidRPr="00DD3C30" w:rsidRDefault="003F67D3">
            <w:pPr>
              <w:jc w:val="both"/>
              <w:rPr>
                <w:color w:val="000000"/>
              </w:rPr>
            </w:pPr>
          </w:p>
        </w:tc>
        <w:tc>
          <w:tcPr>
            <w:tcW w:w="1417" w:type="dxa"/>
            <w:gridSpan w:val="2"/>
            <w:vAlign w:val="bottom"/>
          </w:tcPr>
          <w:p w:rsidR="003F67D3" w:rsidRPr="00DD3C30" w:rsidRDefault="003F67D3" w:rsidP="009F53EC">
            <w:pPr>
              <w:jc w:val="right"/>
              <w:rPr>
                <w:rFonts w:eastAsia="Arial Unicode MS"/>
                <w:color w:val="000000"/>
                <w:sz w:val="22"/>
                <w:szCs w:val="22"/>
              </w:rPr>
            </w:pPr>
          </w:p>
        </w:tc>
        <w:tc>
          <w:tcPr>
            <w:tcW w:w="691" w:type="dxa"/>
            <w:gridSpan w:val="2"/>
          </w:tcPr>
          <w:p w:rsidR="003F67D3" w:rsidRPr="00DD3C30" w:rsidRDefault="003F67D3">
            <w:pPr>
              <w:jc w:val="right"/>
              <w:rPr>
                <w:rFonts w:eastAsia="Arial Unicode MS"/>
                <w:color w:val="000000"/>
                <w:sz w:val="22"/>
                <w:szCs w:val="22"/>
              </w:rPr>
            </w:pPr>
          </w:p>
        </w:tc>
        <w:tc>
          <w:tcPr>
            <w:tcW w:w="1403" w:type="dxa"/>
            <w:gridSpan w:val="2"/>
            <w:vAlign w:val="bottom"/>
          </w:tcPr>
          <w:p w:rsidR="003F67D3" w:rsidRPr="00DD3C30" w:rsidRDefault="003F67D3">
            <w:pPr>
              <w:jc w:val="right"/>
              <w:rPr>
                <w:rFonts w:eastAsia="Arial Unicode MS"/>
                <w:color w:val="000000"/>
                <w:sz w:val="22"/>
                <w:szCs w:val="22"/>
              </w:rPr>
            </w:pPr>
          </w:p>
        </w:tc>
      </w:tr>
      <w:tr w:rsidR="003F67D3" w:rsidRPr="00DD3C30" w:rsidTr="00585ACF">
        <w:trPr>
          <w:gridAfter w:val="1"/>
          <w:wAfter w:w="180" w:type="dxa"/>
          <w:trHeight w:val="4050"/>
        </w:trPr>
        <w:tc>
          <w:tcPr>
            <w:tcW w:w="9720" w:type="dxa"/>
            <w:gridSpan w:val="4"/>
          </w:tcPr>
          <w:p w:rsidR="008E42AB" w:rsidRPr="00DD3C30" w:rsidRDefault="008E42AB" w:rsidP="00506C18">
            <w:pPr>
              <w:pStyle w:val="BodyTextIndent"/>
              <w:ind w:left="0" w:firstLine="0"/>
              <w:jc w:val="both"/>
              <w:rPr>
                <w:color w:val="000000"/>
                <w:sz w:val="24"/>
                <w:szCs w:val="24"/>
              </w:rPr>
            </w:pPr>
          </w:p>
          <w:p w:rsidR="00DD3C30" w:rsidRDefault="00DD3C30" w:rsidP="00DD3C30">
            <w:pPr>
              <w:pStyle w:val="BodyTextIndent"/>
              <w:ind w:left="522" w:hanging="522"/>
              <w:jc w:val="both"/>
              <w:rPr>
                <w:b/>
                <w:color w:val="000000"/>
                <w:sz w:val="24"/>
                <w:szCs w:val="24"/>
              </w:rPr>
            </w:pPr>
            <w:r w:rsidRPr="00DD3C30">
              <w:rPr>
                <w:b/>
                <w:color w:val="000000"/>
                <w:sz w:val="24"/>
                <w:szCs w:val="24"/>
              </w:rPr>
              <w:t>B3</w:t>
            </w:r>
            <w:r w:rsidRPr="00DD3C30">
              <w:rPr>
                <w:color w:val="000000"/>
                <w:sz w:val="24"/>
                <w:szCs w:val="24"/>
              </w:rPr>
              <w:t>.</w:t>
            </w:r>
            <w:r w:rsidRPr="00DD3C30">
              <w:rPr>
                <w:b/>
                <w:color w:val="000000"/>
                <w:sz w:val="24"/>
                <w:szCs w:val="24"/>
              </w:rPr>
              <w:t>Current year prospects</w:t>
            </w:r>
          </w:p>
          <w:p w:rsidR="00506C18" w:rsidRDefault="00506C18" w:rsidP="00DD3C30">
            <w:pPr>
              <w:pStyle w:val="BodyTextIndent"/>
              <w:ind w:left="522" w:hanging="522"/>
              <w:jc w:val="both"/>
              <w:rPr>
                <w:b/>
                <w:color w:val="000000"/>
                <w:sz w:val="24"/>
                <w:szCs w:val="24"/>
              </w:rPr>
            </w:pPr>
          </w:p>
          <w:p w:rsidR="00A514F0" w:rsidRDefault="008817A3" w:rsidP="00DD3C30">
            <w:pPr>
              <w:pStyle w:val="BodyTextIndent"/>
              <w:ind w:left="522" w:hanging="522"/>
              <w:jc w:val="both"/>
              <w:rPr>
                <w:color w:val="000000"/>
                <w:sz w:val="24"/>
                <w:szCs w:val="24"/>
              </w:rPr>
            </w:pPr>
            <w:r>
              <w:rPr>
                <w:color w:val="000000"/>
                <w:sz w:val="24"/>
                <w:szCs w:val="24"/>
              </w:rPr>
              <w:t xml:space="preserve">The gold mining operation has shown encouraging signs of future profitability. With the Company raising funds from the proposed private placement </w:t>
            </w:r>
            <w:r w:rsidR="0093162E">
              <w:rPr>
                <w:color w:val="000000"/>
                <w:sz w:val="24"/>
                <w:szCs w:val="24"/>
              </w:rPr>
              <w:t xml:space="preserve">in due course </w:t>
            </w:r>
            <w:r>
              <w:rPr>
                <w:color w:val="000000"/>
                <w:sz w:val="24"/>
                <w:szCs w:val="24"/>
              </w:rPr>
              <w:t>to finance the req</w:t>
            </w:r>
            <w:r w:rsidR="005440D6">
              <w:rPr>
                <w:color w:val="000000"/>
                <w:sz w:val="24"/>
                <w:szCs w:val="24"/>
              </w:rPr>
              <w:t xml:space="preserve">uired operational facilities </w:t>
            </w:r>
            <w:r>
              <w:rPr>
                <w:color w:val="000000"/>
                <w:sz w:val="24"/>
                <w:szCs w:val="24"/>
              </w:rPr>
              <w:t>and working capital for expanded activities</w:t>
            </w:r>
            <w:r w:rsidR="0093162E">
              <w:rPr>
                <w:color w:val="000000"/>
                <w:sz w:val="24"/>
                <w:szCs w:val="24"/>
              </w:rPr>
              <w:t>, the Board is confident</w:t>
            </w:r>
            <w:r w:rsidR="005440D6">
              <w:rPr>
                <w:color w:val="000000"/>
                <w:sz w:val="24"/>
                <w:szCs w:val="24"/>
              </w:rPr>
              <w:t xml:space="preserve"> that </w:t>
            </w:r>
            <w:r w:rsidR="0093162E">
              <w:rPr>
                <w:color w:val="000000"/>
                <w:sz w:val="24"/>
                <w:szCs w:val="24"/>
              </w:rPr>
              <w:t>the corporate objective of th</w:t>
            </w:r>
            <w:r w:rsidR="005440D6">
              <w:rPr>
                <w:color w:val="000000"/>
                <w:sz w:val="24"/>
                <w:szCs w:val="24"/>
              </w:rPr>
              <w:t>e</w:t>
            </w:r>
            <w:r w:rsidR="0093162E">
              <w:rPr>
                <w:color w:val="000000"/>
                <w:sz w:val="24"/>
                <w:szCs w:val="24"/>
              </w:rPr>
              <w:t xml:space="preserve"> proposed business diversification into gold mining would </w:t>
            </w:r>
            <w:r w:rsidR="005440D6">
              <w:rPr>
                <w:color w:val="000000"/>
                <w:sz w:val="24"/>
                <w:szCs w:val="24"/>
              </w:rPr>
              <w:t xml:space="preserve">be able to </w:t>
            </w:r>
            <w:r w:rsidR="0093162E">
              <w:rPr>
                <w:color w:val="000000"/>
                <w:sz w:val="24"/>
                <w:szCs w:val="24"/>
              </w:rPr>
              <w:t>contribute significantly to the overall profitability and financial strength of the Group. Couple with the contributions from the fast food and other divisions, the Board is confident of a brighter pros</w:t>
            </w:r>
            <w:r w:rsidR="005440D6">
              <w:rPr>
                <w:color w:val="000000"/>
                <w:sz w:val="24"/>
                <w:szCs w:val="24"/>
              </w:rPr>
              <w:t>pect for the Group</w:t>
            </w:r>
            <w:r w:rsidR="0093162E">
              <w:rPr>
                <w:color w:val="000000"/>
                <w:sz w:val="24"/>
                <w:szCs w:val="24"/>
              </w:rPr>
              <w:t xml:space="preserve">. </w:t>
            </w:r>
          </w:p>
          <w:p w:rsidR="001B2F29" w:rsidRDefault="001B2F29" w:rsidP="001B2F29">
            <w:pPr>
              <w:pStyle w:val="BodyTextIndent"/>
              <w:ind w:left="0" w:firstLine="0"/>
              <w:outlineLvl w:val="0"/>
              <w:rPr>
                <w:color w:val="000000"/>
                <w:sz w:val="24"/>
                <w:szCs w:val="24"/>
              </w:rPr>
            </w:pPr>
          </w:p>
          <w:p w:rsidR="001B2F29" w:rsidRPr="00A24AD2" w:rsidRDefault="001B2F29" w:rsidP="001B2F29">
            <w:pPr>
              <w:pStyle w:val="BodyTextIndent"/>
              <w:ind w:left="0" w:firstLine="0"/>
              <w:outlineLvl w:val="0"/>
              <w:rPr>
                <w:b/>
                <w:color w:val="000000"/>
                <w:sz w:val="24"/>
                <w:szCs w:val="24"/>
              </w:rPr>
            </w:pPr>
            <w:r>
              <w:rPr>
                <w:b/>
                <w:color w:val="000000"/>
                <w:sz w:val="24"/>
                <w:szCs w:val="24"/>
              </w:rPr>
              <w:t xml:space="preserve">B4.  Variation </w:t>
            </w:r>
            <w:r w:rsidRPr="00A24AD2">
              <w:rPr>
                <w:b/>
                <w:color w:val="000000"/>
                <w:sz w:val="24"/>
                <w:szCs w:val="24"/>
              </w:rPr>
              <w:t xml:space="preserve">Profit Forecast </w:t>
            </w:r>
            <w:r w:rsidR="007C42C1">
              <w:rPr>
                <w:b/>
                <w:color w:val="000000"/>
                <w:sz w:val="24"/>
                <w:szCs w:val="24"/>
              </w:rPr>
              <w:t>/</w:t>
            </w:r>
            <w:r w:rsidRPr="00A24AD2">
              <w:rPr>
                <w:b/>
                <w:color w:val="000000"/>
                <w:sz w:val="24"/>
                <w:szCs w:val="24"/>
              </w:rPr>
              <w:t xml:space="preserve"> Profit Guarantee</w:t>
            </w:r>
          </w:p>
          <w:p w:rsidR="001B2F29" w:rsidRPr="00A24AD2" w:rsidRDefault="001B2F29" w:rsidP="001B2F29">
            <w:pPr>
              <w:pStyle w:val="BodyTextIndent"/>
              <w:ind w:firstLine="0"/>
              <w:rPr>
                <w:color w:val="000000"/>
                <w:sz w:val="24"/>
                <w:szCs w:val="24"/>
              </w:rPr>
            </w:pPr>
          </w:p>
          <w:p w:rsidR="001B2F29" w:rsidRPr="00221BA0" w:rsidRDefault="007C42C1" w:rsidP="001B2F29">
            <w:pPr>
              <w:outlineLvl w:val="0"/>
              <w:rPr>
                <w:color w:val="000000"/>
              </w:rPr>
            </w:pPr>
            <w:r w:rsidRPr="00221BA0">
              <w:rPr>
                <w:color w:val="000000"/>
              </w:rPr>
              <w:t>Profit Forecast        – N/A</w:t>
            </w:r>
          </w:p>
          <w:p w:rsidR="007C42C1" w:rsidRPr="00221BA0" w:rsidRDefault="007C42C1" w:rsidP="001B2F29">
            <w:pPr>
              <w:outlineLvl w:val="0"/>
              <w:rPr>
                <w:color w:val="000000"/>
              </w:rPr>
            </w:pPr>
            <w:r w:rsidRPr="00221BA0">
              <w:rPr>
                <w:color w:val="000000"/>
              </w:rPr>
              <w:t xml:space="preserve"> Profit Guarantee     – N/A</w:t>
            </w:r>
          </w:p>
          <w:p w:rsidR="007C42C1" w:rsidRDefault="007C42C1" w:rsidP="001B2F29">
            <w:pPr>
              <w:outlineLvl w:val="0"/>
              <w:rPr>
                <w:color w:val="000000"/>
              </w:rPr>
            </w:pPr>
          </w:p>
          <w:p w:rsidR="007C42C1" w:rsidRDefault="007C42C1" w:rsidP="001B2F29">
            <w:pPr>
              <w:outlineLvl w:val="0"/>
              <w:rPr>
                <w:color w:val="000000"/>
              </w:rPr>
            </w:pPr>
            <w:r>
              <w:rPr>
                <w:color w:val="000000"/>
              </w:rPr>
              <w:t xml:space="preserve">The Group did not issue any profit forecast nor profit guarantee during the current financial </w:t>
            </w:r>
          </w:p>
          <w:p w:rsidR="007C42C1" w:rsidRDefault="007C42C1" w:rsidP="001B2F29">
            <w:pPr>
              <w:outlineLvl w:val="0"/>
              <w:rPr>
                <w:color w:val="000000"/>
              </w:rPr>
            </w:pPr>
            <w:r>
              <w:rPr>
                <w:color w:val="000000"/>
              </w:rPr>
              <w:t>period to date.</w:t>
            </w:r>
          </w:p>
          <w:p w:rsidR="00933F5B" w:rsidRDefault="00933F5B" w:rsidP="001B2F29">
            <w:pPr>
              <w:outlineLvl w:val="0"/>
              <w:rPr>
                <w:color w:val="000000"/>
              </w:rPr>
            </w:pPr>
          </w:p>
          <w:p w:rsidR="00933F5B" w:rsidRDefault="00933F5B" w:rsidP="001B2F29">
            <w:pPr>
              <w:outlineLvl w:val="0"/>
              <w:rPr>
                <w:color w:val="000000"/>
              </w:rPr>
            </w:pPr>
          </w:p>
          <w:p w:rsidR="00933F5B" w:rsidRDefault="00933F5B" w:rsidP="00933F5B">
            <w:pPr>
              <w:ind w:hanging="18"/>
              <w:outlineLvl w:val="0"/>
              <w:rPr>
                <w:b/>
                <w:color w:val="000000"/>
              </w:rPr>
            </w:pPr>
            <w:r w:rsidRPr="00933F5B">
              <w:rPr>
                <w:b/>
                <w:color w:val="000000"/>
              </w:rPr>
              <w:t xml:space="preserve">B5. </w:t>
            </w:r>
            <w:r>
              <w:rPr>
                <w:b/>
                <w:color w:val="000000"/>
              </w:rPr>
              <w:t xml:space="preserve">  Taxation</w:t>
            </w:r>
          </w:p>
          <w:p w:rsidR="00933F5B" w:rsidRDefault="00933F5B" w:rsidP="00933F5B">
            <w:pPr>
              <w:ind w:hanging="18"/>
              <w:outlineLvl w:val="0"/>
              <w:rPr>
                <w:b/>
                <w:color w:val="000000"/>
              </w:rPr>
            </w:pPr>
          </w:p>
          <w:p w:rsidR="00933F5B" w:rsidRPr="00933F5B" w:rsidRDefault="00EB19DF" w:rsidP="00EB19DF">
            <w:pPr>
              <w:ind w:left="432"/>
              <w:jc w:val="both"/>
              <w:outlineLvl w:val="0"/>
              <w:rPr>
                <w:color w:val="000000"/>
              </w:rPr>
            </w:pPr>
            <w:r>
              <w:rPr>
                <w:color w:val="000000"/>
              </w:rPr>
              <w:t xml:space="preserve">The provision made </w:t>
            </w:r>
            <w:r w:rsidR="00572400">
              <w:rPr>
                <w:color w:val="000000"/>
              </w:rPr>
              <w:t>is</w:t>
            </w:r>
            <w:r>
              <w:rPr>
                <w:color w:val="000000"/>
              </w:rPr>
              <w:t xml:space="preserve"> based on estimate subject to final taxation computation after having made due allowances for </w:t>
            </w:r>
            <w:r w:rsidR="00D019E9">
              <w:rPr>
                <w:color w:val="000000"/>
              </w:rPr>
              <w:t>non-allowable</w:t>
            </w:r>
            <w:r>
              <w:rPr>
                <w:color w:val="000000"/>
              </w:rPr>
              <w:t xml:space="preserve"> expenses. </w:t>
            </w:r>
          </w:p>
          <w:p w:rsidR="00FE113C" w:rsidRDefault="00FE113C" w:rsidP="00EB19DF">
            <w:pPr>
              <w:jc w:val="both"/>
              <w:outlineLvl w:val="0"/>
              <w:rPr>
                <w:color w:val="000000"/>
              </w:rPr>
            </w:pPr>
          </w:p>
          <w:p w:rsidR="00F54E32" w:rsidRPr="00DD3C30" w:rsidRDefault="00F54E32" w:rsidP="00F54E32">
            <w:pPr>
              <w:outlineLvl w:val="0"/>
              <w:rPr>
                <w:b/>
                <w:color w:val="000000"/>
              </w:rPr>
            </w:pPr>
            <w:r w:rsidRPr="00DD3C30">
              <w:rPr>
                <w:b/>
                <w:color w:val="000000"/>
              </w:rPr>
              <w:t>BORNEO OIL BERHAD</w:t>
            </w:r>
          </w:p>
          <w:p w:rsidR="00F54E32" w:rsidRPr="00DD3C30" w:rsidRDefault="00F54E32" w:rsidP="00F54E32">
            <w:pPr>
              <w:rPr>
                <w:i/>
                <w:color w:val="000000"/>
              </w:rPr>
            </w:pPr>
            <w:r w:rsidRPr="00DD3C30">
              <w:rPr>
                <w:i/>
                <w:color w:val="000000"/>
              </w:rPr>
              <w:t>(Company No. 121919-H)</w:t>
            </w:r>
          </w:p>
          <w:p w:rsidR="00F54E32" w:rsidRPr="00DD3C30" w:rsidRDefault="00F54E32" w:rsidP="00F54E32">
            <w:pPr>
              <w:outlineLvl w:val="0"/>
              <w:rPr>
                <w:b/>
                <w:color w:val="000000"/>
              </w:rPr>
            </w:pPr>
            <w:r w:rsidRPr="00DD3C30">
              <w:rPr>
                <w:b/>
                <w:color w:val="000000"/>
              </w:rPr>
              <w:t>Incorporated in Malaysia</w:t>
            </w:r>
          </w:p>
          <w:p w:rsidR="00F54E32" w:rsidRPr="00DD3C30" w:rsidRDefault="00F54E32" w:rsidP="00F54E32">
            <w:pPr>
              <w:rPr>
                <w:b/>
                <w:color w:val="000000"/>
              </w:rPr>
            </w:pPr>
          </w:p>
          <w:p w:rsidR="00F54E32" w:rsidRPr="00DD3C30" w:rsidRDefault="00F54E32" w:rsidP="00F54E32">
            <w:pPr>
              <w:outlineLvl w:val="0"/>
              <w:rPr>
                <w:b/>
                <w:color w:val="000000"/>
              </w:rPr>
            </w:pPr>
            <w:r w:rsidRPr="00DD3C30">
              <w:rPr>
                <w:b/>
                <w:color w:val="000000"/>
              </w:rPr>
              <w:t xml:space="preserve">Notes on the quarterly report – </w:t>
            </w:r>
            <w:r>
              <w:rPr>
                <w:b/>
                <w:color w:val="000000"/>
                <w:sz w:val="22"/>
                <w:szCs w:val="22"/>
              </w:rPr>
              <w:t>3</w:t>
            </w:r>
            <w:r w:rsidR="003A6677">
              <w:rPr>
                <w:b/>
                <w:color w:val="000000"/>
                <w:sz w:val="22"/>
                <w:szCs w:val="22"/>
              </w:rPr>
              <w:t>1 July</w:t>
            </w:r>
            <w:r>
              <w:rPr>
                <w:b/>
                <w:color w:val="000000"/>
                <w:sz w:val="22"/>
                <w:szCs w:val="22"/>
              </w:rPr>
              <w:t xml:space="preserve"> 2014</w:t>
            </w:r>
          </w:p>
          <w:p w:rsidR="00FE113C" w:rsidRPr="00DD3C30" w:rsidRDefault="00FE113C" w:rsidP="00F54E32">
            <w:pPr>
              <w:pBdr>
                <w:bottom w:val="single" w:sz="4" w:space="1" w:color="auto"/>
              </w:pBdr>
              <w:jc w:val="both"/>
              <w:rPr>
                <w:b/>
                <w:color w:val="000000"/>
              </w:rPr>
            </w:pPr>
            <w:r w:rsidRPr="00DD3C30">
              <w:rPr>
                <w:b/>
                <w:color w:val="000000"/>
              </w:rPr>
              <w:tab/>
            </w:r>
            <w:r w:rsidRPr="00DD3C30">
              <w:rPr>
                <w:b/>
                <w:color w:val="000000"/>
              </w:rPr>
              <w:tab/>
            </w:r>
            <w:r w:rsidRPr="00DD3C30">
              <w:rPr>
                <w:b/>
                <w:color w:val="000000"/>
              </w:rPr>
              <w:tab/>
            </w:r>
            <w:r w:rsidRPr="00DD3C30">
              <w:rPr>
                <w:b/>
                <w:color w:val="000000"/>
              </w:rPr>
              <w:tab/>
            </w:r>
            <w:r w:rsidRPr="00DD3C30">
              <w:rPr>
                <w:b/>
                <w:color w:val="000000"/>
              </w:rPr>
              <w:tab/>
            </w:r>
            <w:r w:rsidRPr="00DD3C30">
              <w:rPr>
                <w:b/>
                <w:color w:val="000000"/>
              </w:rPr>
              <w:tab/>
            </w:r>
            <w:r w:rsidRPr="00DD3C30">
              <w:rPr>
                <w:b/>
                <w:color w:val="000000"/>
              </w:rPr>
              <w:tab/>
            </w:r>
            <w:r w:rsidRPr="00DD3C30">
              <w:rPr>
                <w:b/>
                <w:color w:val="000000"/>
              </w:rPr>
              <w:tab/>
            </w:r>
          </w:p>
          <w:p w:rsidR="00FE113C" w:rsidRPr="00A24AD2" w:rsidRDefault="00FE113C" w:rsidP="001B2F29">
            <w:pPr>
              <w:outlineLvl w:val="0"/>
              <w:rPr>
                <w:color w:val="000000"/>
              </w:rPr>
            </w:pPr>
          </w:p>
          <w:p w:rsidR="00A514F0" w:rsidRDefault="00A514F0" w:rsidP="00A514F0">
            <w:pPr>
              <w:ind w:left="-108"/>
              <w:jc w:val="both"/>
              <w:rPr>
                <w:b/>
                <w:color w:val="000000"/>
              </w:rPr>
            </w:pPr>
          </w:p>
          <w:p w:rsidR="00A514F0" w:rsidRDefault="00A514F0" w:rsidP="00A514F0">
            <w:pPr>
              <w:ind w:left="-108"/>
              <w:jc w:val="both"/>
              <w:rPr>
                <w:b/>
                <w:color w:val="000000"/>
              </w:rPr>
            </w:pPr>
            <w:r w:rsidRPr="00933F5B">
              <w:rPr>
                <w:b/>
                <w:color w:val="000000"/>
              </w:rPr>
              <w:t xml:space="preserve">B6. </w:t>
            </w:r>
            <w:r>
              <w:rPr>
                <w:b/>
                <w:color w:val="000000"/>
              </w:rPr>
              <w:t xml:space="preserve"> Corporate Proposals</w:t>
            </w:r>
          </w:p>
          <w:p w:rsidR="00221BA0" w:rsidRDefault="00221BA0" w:rsidP="00A514F0">
            <w:pPr>
              <w:ind w:left="-108"/>
              <w:jc w:val="both"/>
              <w:rPr>
                <w:b/>
                <w:color w:val="000000"/>
              </w:rPr>
            </w:pPr>
          </w:p>
          <w:p w:rsidR="00221BA0" w:rsidRPr="00221BA0" w:rsidRDefault="00221BA0" w:rsidP="00A514F0">
            <w:pPr>
              <w:ind w:left="-108"/>
              <w:jc w:val="both"/>
              <w:rPr>
                <w:color w:val="000000"/>
              </w:rPr>
            </w:pPr>
            <w:r w:rsidRPr="00221BA0">
              <w:rPr>
                <w:color w:val="000000"/>
              </w:rPr>
              <w:t xml:space="preserve">         The corporate exercises that are still pending are:</w:t>
            </w:r>
          </w:p>
          <w:p w:rsidR="00221BA0" w:rsidRDefault="00221BA0" w:rsidP="00A514F0">
            <w:pPr>
              <w:ind w:left="-108"/>
              <w:jc w:val="both"/>
              <w:rPr>
                <w:color w:val="000000"/>
              </w:rPr>
            </w:pPr>
          </w:p>
          <w:p w:rsidR="00CE4E7B" w:rsidRDefault="00221BA0" w:rsidP="00221BA0">
            <w:pPr>
              <w:pStyle w:val="ListParagraph"/>
              <w:numPr>
                <w:ilvl w:val="0"/>
                <w:numId w:val="32"/>
              </w:numPr>
              <w:jc w:val="both"/>
              <w:rPr>
                <w:color w:val="000000"/>
              </w:rPr>
            </w:pPr>
            <w:r>
              <w:rPr>
                <w:color w:val="000000"/>
              </w:rPr>
              <w:t>T</w:t>
            </w:r>
            <w:r w:rsidR="00A514F0" w:rsidRPr="00221BA0">
              <w:rPr>
                <w:color w:val="000000"/>
              </w:rPr>
              <w:t xml:space="preserve">he application submitted </w:t>
            </w:r>
            <w:r w:rsidRPr="00221BA0">
              <w:rPr>
                <w:color w:val="000000"/>
              </w:rPr>
              <w:t xml:space="preserve">to the Securities Commission </w:t>
            </w:r>
            <w:r w:rsidR="00A514F0" w:rsidRPr="00221BA0">
              <w:rPr>
                <w:color w:val="000000"/>
              </w:rPr>
              <w:t>on 3 December 2010 for proposed variation in the manner of utilisation of a portion of the cash proceeds amounting to RM 2.00 million</w:t>
            </w:r>
            <w:r w:rsidR="00195A95">
              <w:rPr>
                <w:color w:val="000000"/>
              </w:rPr>
              <w:t xml:space="preserve"> </w:t>
            </w:r>
            <w:r w:rsidR="00A514F0" w:rsidRPr="00221BA0">
              <w:rPr>
                <w:color w:val="000000"/>
              </w:rPr>
              <w:t>previously raised through a special issue which is still pending their consideration and approval.</w:t>
            </w:r>
          </w:p>
          <w:p w:rsidR="00221BA0" w:rsidRPr="00221BA0" w:rsidRDefault="00221BA0" w:rsidP="00221BA0">
            <w:pPr>
              <w:pStyle w:val="ListParagraph"/>
              <w:numPr>
                <w:ilvl w:val="0"/>
                <w:numId w:val="32"/>
              </w:numPr>
              <w:jc w:val="both"/>
              <w:rPr>
                <w:color w:val="000000"/>
              </w:rPr>
            </w:pPr>
            <w:r>
              <w:rPr>
                <w:color w:val="000000"/>
              </w:rPr>
              <w:t>The proposed private placement is exercise referred to in paragraph 10A above.</w:t>
            </w:r>
          </w:p>
        </w:tc>
        <w:tc>
          <w:tcPr>
            <w:tcW w:w="1417" w:type="dxa"/>
            <w:gridSpan w:val="2"/>
            <w:vAlign w:val="bottom"/>
          </w:tcPr>
          <w:p w:rsidR="003F67D3" w:rsidRPr="00DD3C30" w:rsidRDefault="003F67D3" w:rsidP="00933F5B">
            <w:pPr>
              <w:ind w:left="-9108" w:right="9489"/>
              <w:rPr>
                <w:rFonts w:eastAsia="Arial Unicode MS"/>
                <w:color w:val="000000"/>
                <w:sz w:val="22"/>
                <w:szCs w:val="22"/>
              </w:rPr>
            </w:pPr>
          </w:p>
        </w:tc>
        <w:tc>
          <w:tcPr>
            <w:tcW w:w="691" w:type="dxa"/>
            <w:gridSpan w:val="2"/>
          </w:tcPr>
          <w:p w:rsidR="003F67D3" w:rsidRPr="00DD3C30" w:rsidRDefault="003F67D3">
            <w:pPr>
              <w:jc w:val="right"/>
              <w:rPr>
                <w:rFonts w:eastAsia="Arial Unicode MS"/>
                <w:color w:val="000000"/>
                <w:sz w:val="22"/>
                <w:szCs w:val="22"/>
              </w:rPr>
            </w:pPr>
          </w:p>
        </w:tc>
        <w:tc>
          <w:tcPr>
            <w:tcW w:w="1403" w:type="dxa"/>
            <w:gridSpan w:val="2"/>
            <w:vAlign w:val="bottom"/>
          </w:tcPr>
          <w:p w:rsidR="003F67D3" w:rsidRPr="00DD3C30" w:rsidRDefault="003F67D3">
            <w:pPr>
              <w:jc w:val="right"/>
              <w:rPr>
                <w:rFonts w:eastAsia="Arial Unicode MS"/>
                <w:color w:val="000000"/>
                <w:sz w:val="22"/>
                <w:szCs w:val="22"/>
              </w:rPr>
            </w:pPr>
          </w:p>
        </w:tc>
      </w:tr>
      <w:tr w:rsidR="003F67D3" w:rsidRPr="00DD3C30" w:rsidTr="00585ACF">
        <w:trPr>
          <w:gridAfter w:val="1"/>
          <w:wAfter w:w="180" w:type="dxa"/>
        </w:trPr>
        <w:tc>
          <w:tcPr>
            <w:tcW w:w="9720" w:type="dxa"/>
            <w:gridSpan w:val="4"/>
          </w:tcPr>
          <w:p w:rsidR="003F67D3" w:rsidRDefault="003F67D3" w:rsidP="001C28CF">
            <w:pPr>
              <w:jc w:val="both"/>
              <w:rPr>
                <w:color w:val="000000"/>
                <w:sz w:val="22"/>
                <w:szCs w:val="22"/>
              </w:rPr>
            </w:pPr>
          </w:p>
          <w:p w:rsidR="00783F70" w:rsidRPr="00DD3C30" w:rsidRDefault="00783F70" w:rsidP="001C28CF">
            <w:pPr>
              <w:jc w:val="both"/>
              <w:rPr>
                <w:color w:val="000000"/>
                <w:sz w:val="22"/>
                <w:szCs w:val="22"/>
              </w:rPr>
            </w:pPr>
          </w:p>
        </w:tc>
        <w:tc>
          <w:tcPr>
            <w:tcW w:w="1417" w:type="dxa"/>
            <w:gridSpan w:val="2"/>
            <w:vAlign w:val="bottom"/>
          </w:tcPr>
          <w:p w:rsidR="003F67D3" w:rsidRPr="00DD3C30" w:rsidRDefault="003F67D3" w:rsidP="00AE750B">
            <w:pPr>
              <w:jc w:val="center"/>
              <w:rPr>
                <w:rFonts w:eastAsia="Arial Unicode MS"/>
                <w:color w:val="000000"/>
                <w:sz w:val="22"/>
                <w:szCs w:val="22"/>
              </w:rPr>
            </w:pPr>
          </w:p>
        </w:tc>
        <w:tc>
          <w:tcPr>
            <w:tcW w:w="691" w:type="dxa"/>
            <w:gridSpan w:val="2"/>
          </w:tcPr>
          <w:p w:rsidR="003F67D3" w:rsidRPr="00DD3C30" w:rsidRDefault="003F67D3">
            <w:pPr>
              <w:jc w:val="right"/>
              <w:rPr>
                <w:rFonts w:eastAsia="Arial Unicode MS"/>
                <w:color w:val="000000"/>
                <w:sz w:val="22"/>
                <w:szCs w:val="22"/>
              </w:rPr>
            </w:pPr>
          </w:p>
        </w:tc>
        <w:tc>
          <w:tcPr>
            <w:tcW w:w="1403" w:type="dxa"/>
            <w:gridSpan w:val="2"/>
            <w:vAlign w:val="bottom"/>
          </w:tcPr>
          <w:p w:rsidR="003F67D3" w:rsidRPr="00DD3C30" w:rsidRDefault="003F67D3">
            <w:pPr>
              <w:jc w:val="right"/>
              <w:rPr>
                <w:rFonts w:eastAsia="Arial Unicode MS"/>
                <w:color w:val="000000"/>
                <w:sz w:val="22"/>
                <w:szCs w:val="22"/>
              </w:rPr>
            </w:pPr>
          </w:p>
        </w:tc>
      </w:tr>
      <w:tr w:rsidR="003F67D3" w:rsidRPr="00DD3C30" w:rsidTr="00585ACF">
        <w:trPr>
          <w:gridAfter w:val="1"/>
          <w:wAfter w:w="180" w:type="dxa"/>
          <w:trHeight w:val="6138"/>
        </w:trPr>
        <w:tc>
          <w:tcPr>
            <w:tcW w:w="9720" w:type="dxa"/>
            <w:gridSpan w:val="4"/>
          </w:tcPr>
          <w:p w:rsidR="003F67D3" w:rsidRDefault="00FE113C">
            <w:pPr>
              <w:spacing w:line="360" w:lineRule="auto"/>
              <w:jc w:val="both"/>
              <w:rPr>
                <w:b/>
                <w:color w:val="000000"/>
                <w:sz w:val="22"/>
                <w:szCs w:val="22"/>
              </w:rPr>
            </w:pPr>
            <w:r>
              <w:rPr>
                <w:b/>
                <w:color w:val="000000"/>
                <w:sz w:val="22"/>
                <w:szCs w:val="22"/>
              </w:rPr>
              <w:t>B7.   Borrowings and Debt Securities</w:t>
            </w:r>
          </w:p>
          <w:p w:rsidR="00CE4E7B" w:rsidRDefault="00820786" w:rsidP="00F60724">
            <w:pPr>
              <w:spacing w:line="360" w:lineRule="auto"/>
              <w:ind w:firstLine="522"/>
              <w:jc w:val="both"/>
              <w:rPr>
                <w:b/>
                <w:color w:val="000000"/>
                <w:sz w:val="22"/>
                <w:szCs w:val="22"/>
              </w:rPr>
            </w:pPr>
            <w:r w:rsidRPr="00CE7A6A">
              <w:rPr>
                <w:b/>
                <w:color w:val="000000"/>
                <w:sz w:val="22"/>
                <w:szCs w:val="22"/>
              </w:rPr>
              <w:object w:dxaOrig="8102" w:dyaOrig="5131">
                <v:shape id="_x0000_i1029" type="#_x0000_t75" style="width:429.75pt;height:279.75pt" o:ole="">
                  <v:imagedata r:id="rId22" o:title=""/>
                </v:shape>
                <o:OLEObject Type="Embed" ProgID="Excel.Sheet.12" ShapeID="_x0000_i1029" DrawAspect="Content" ObjectID="_1473602798" r:id="rId23"/>
              </w:object>
            </w:r>
          </w:p>
          <w:p w:rsidR="00CE4E7B" w:rsidRPr="00DD3C30" w:rsidRDefault="00CE4E7B" w:rsidP="00585ACF">
            <w:pPr>
              <w:spacing w:line="360" w:lineRule="auto"/>
              <w:jc w:val="both"/>
              <w:rPr>
                <w:b/>
                <w:color w:val="000000"/>
                <w:sz w:val="22"/>
                <w:szCs w:val="22"/>
              </w:rPr>
            </w:pPr>
          </w:p>
        </w:tc>
        <w:tc>
          <w:tcPr>
            <w:tcW w:w="1417" w:type="dxa"/>
            <w:gridSpan w:val="2"/>
            <w:vAlign w:val="bottom"/>
          </w:tcPr>
          <w:p w:rsidR="003F67D3" w:rsidRPr="00DD3C30" w:rsidRDefault="003F67D3">
            <w:pPr>
              <w:jc w:val="right"/>
              <w:rPr>
                <w:rFonts w:eastAsia="Arial Unicode MS"/>
                <w:color w:val="000000"/>
                <w:sz w:val="22"/>
                <w:szCs w:val="22"/>
              </w:rPr>
            </w:pPr>
          </w:p>
        </w:tc>
        <w:tc>
          <w:tcPr>
            <w:tcW w:w="691" w:type="dxa"/>
            <w:gridSpan w:val="2"/>
          </w:tcPr>
          <w:p w:rsidR="003F67D3" w:rsidRPr="00DD3C30" w:rsidRDefault="003F67D3">
            <w:pPr>
              <w:jc w:val="right"/>
              <w:rPr>
                <w:rFonts w:eastAsia="Arial Unicode MS"/>
                <w:color w:val="000000"/>
                <w:sz w:val="22"/>
                <w:szCs w:val="22"/>
              </w:rPr>
            </w:pPr>
          </w:p>
        </w:tc>
        <w:tc>
          <w:tcPr>
            <w:tcW w:w="1403" w:type="dxa"/>
            <w:gridSpan w:val="2"/>
            <w:vAlign w:val="bottom"/>
          </w:tcPr>
          <w:p w:rsidR="003F67D3" w:rsidRPr="00DD3C30" w:rsidRDefault="003F67D3">
            <w:pPr>
              <w:jc w:val="right"/>
              <w:rPr>
                <w:rFonts w:eastAsia="Arial Unicode MS"/>
                <w:color w:val="000000"/>
                <w:sz w:val="22"/>
                <w:szCs w:val="22"/>
              </w:rPr>
            </w:pPr>
          </w:p>
        </w:tc>
      </w:tr>
      <w:tr w:rsidR="003F67D3" w:rsidRPr="00DD3C30" w:rsidTr="008F440D">
        <w:trPr>
          <w:gridAfter w:val="1"/>
          <w:wAfter w:w="180" w:type="dxa"/>
          <w:trHeight w:val="80"/>
        </w:trPr>
        <w:tc>
          <w:tcPr>
            <w:tcW w:w="9720" w:type="dxa"/>
            <w:gridSpan w:val="4"/>
          </w:tcPr>
          <w:p w:rsidR="00FE113C" w:rsidRPr="00DD3C30" w:rsidRDefault="00FE113C" w:rsidP="00CF1895">
            <w:pPr>
              <w:ind w:left="405"/>
              <w:jc w:val="both"/>
              <w:rPr>
                <w:rFonts w:eastAsia="Arial Unicode MS"/>
                <w:color w:val="000000"/>
                <w:sz w:val="22"/>
                <w:szCs w:val="22"/>
              </w:rPr>
            </w:pPr>
          </w:p>
        </w:tc>
        <w:tc>
          <w:tcPr>
            <w:tcW w:w="1417" w:type="dxa"/>
            <w:gridSpan w:val="2"/>
            <w:vAlign w:val="bottom"/>
          </w:tcPr>
          <w:p w:rsidR="003F67D3" w:rsidRPr="00DD3C30" w:rsidRDefault="003F67D3" w:rsidP="008450D3">
            <w:pPr>
              <w:jc w:val="right"/>
              <w:rPr>
                <w:rFonts w:eastAsia="Arial Unicode MS"/>
                <w:color w:val="000000"/>
                <w:sz w:val="22"/>
                <w:szCs w:val="22"/>
              </w:rPr>
            </w:pPr>
          </w:p>
        </w:tc>
        <w:tc>
          <w:tcPr>
            <w:tcW w:w="691" w:type="dxa"/>
            <w:gridSpan w:val="2"/>
          </w:tcPr>
          <w:p w:rsidR="003F67D3" w:rsidRPr="00DD3C30" w:rsidRDefault="003F67D3">
            <w:pPr>
              <w:jc w:val="right"/>
              <w:rPr>
                <w:rFonts w:eastAsia="Arial Unicode MS"/>
                <w:color w:val="000000"/>
                <w:sz w:val="22"/>
                <w:szCs w:val="22"/>
              </w:rPr>
            </w:pPr>
          </w:p>
        </w:tc>
        <w:tc>
          <w:tcPr>
            <w:tcW w:w="1403" w:type="dxa"/>
            <w:gridSpan w:val="2"/>
            <w:vAlign w:val="bottom"/>
          </w:tcPr>
          <w:p w:rsidR="003F67D3" w:rsidRPr="00DD3C30" w:rsidRDefault="003F67D3" w:rsidP="008450D3">
            <w:pPr>
              <w:jc w:val="right"/>
              <w:rPr>
                <w:rFonts w:eastAsia="Arial Unicode MS"/>
                <w:color w:val="000000"/>
                <w:sz w:val="22"/>
                <w:szCs w:val="22"/>
              </w:rPr>
            </w:pPr>
          </w:p>
        </w:tc>
      </w:tr>
      <w:tr w:rsidR="00585ACF" w:rsidRPr="00DD3C30" w:rsidTr="00585ACF">
        <w:trPr>
          <w:gridAfter w:val="1"/>
          <w:wAfter w:w="180" w:type="dxa"/>
          <w:trHeight w:val="288"/>
        </w:trPr>
        <w:tc>
          <w:tcPr>
            <w:tcW w:w="9720" w:type="dxa"/>
            <w:gridSpan w:val="4"/>
          </w:tcPr>
          <w:p w:rsidR="00585ACF" w:rsidRDefault="00585ACF" w:rsidP="00CA07EE">
            <w:pPr>
              <w:jc w:val="both"/>
              <w:rPr>
                <w:b/>
                <w:color w:val="000000"/>
                <w:sz w:val="22"/>
                <w:szCs w:val="22"/>
              </w:rPr>
            </w:pPr>
            <w:r w:rsidRPr="00C77BCF">
              <w:rPr>
                <w:b/>
                <w:color w:val="000000"/>
                <w:sz w:val="22"/>
                <w:szCs w:val="22"/>
              </w:rPr>
              <w:t xml:space="preserve">B8. </w:t>
            </w:r>
            <w:r>
              <w:rPr>
                <w:b/>
                <w:color w:val="000000"/>
                <w:sz w:val="22"/>
                <w:szCs w:val="22"/>
              </w:rPr>
              <w:t xml:space="preserve"> Material Litigation</w:t>
            </w:r>
          </w:p>
          <w:p w:rsidR="00585ACF" w:rsidRPr="00F60724" w:rsidRDefault="00585ACF" w:rsidP="00CA07EE">
            <w:pPr>
              <w:jc w:val="both"/>
              <w:rPr>
                <w:b/>
                <w:color w:val="000000"/>
                <w:sz w:val="22"/>
                <w:szCs w:val="22"/>
              </w:rPr>
            </w:pPr>
          </w:p>
        </w:tc>
        <w:tc>
          <w:tcPr>
            <w:tcW w:w="1417" w:type="dxa"/>
            <w:gridSpan w:val="2"/>
            <w:vAlign w:val="bottom"/>
          </w:tcPr>
          <w:p w:rsidR="00585ACF" w:rsidRPr="00DD3C30" w:rsidRDefault="00585ACF" w:rsidP="00175965">
            <w:pPr>
              <w:jc w:val="right"/>
              <w:rPr>
                <w:rFonts w:eastAsia="Arial Unicode MS"/>
                <w:color w:val="000000"/>
                <w:sz w:val="22"/>
                <w:szCs w:val="22"/>
              </w:rPr>
            </w:pPr>
          </w:p>
        </w:tc>
        <w:tc>
          <w:tcPr>
            <w:tcW w:w="691" w:type="dxa"/>
            <w:gridSpan w:val="2"/>
          </w:tcPr>
          <w:p w:rsidR="00585ACF" w:rsidRPr="00DD3C30" w:rsidRDefault="00585ACF">
            <w:pPr>
              <w:jc w:val="right"/>
              <w:rPr>
                <w:rFonts w:eastAsia="Arial Unicode MS"/>
                <w:color w:val="000000"/>
                <w:sz w:val="22"/>
                <w:szCs w:val="22"/>
                <w:u w:val="single"/>
              </w:rPr>
            </w:pPr>
          </w:p>
        </w:tc>
        <w:tc>
          <w:tcPr>
            <w:tcW w:w="1403" w:type="dxa"/>
            <w:gridSpan w:val="2"/>
            <w:vAlign w:val="bottom"/>
          </w:tcPr>
          <w:p w:rsidR="00585ACF" w:rsidRPr="00DD3C30" w:rsidRDefault="00585ACF" w:rsidP="00175965">
            <w:pPr>
              <w:jc w:val="right"/>
              <w:rPr>
                <w:rFonts w:eastAsia="Arial Unicode MS"/>
                <w:color w:val="000000"/>
                <w:sz w:val="22"/>
                <w:szCs w:val="22"/>
              </w:rPr>
            </w:pPr>
          </w:p>
        </w:tc>
      </w:tr>
    </w:tbl>
    <w:p w:rsidR="009A0E56" w:rsidRDefault="00CA5241" w:rsidP="00585ACF">
      <w:pPr>
        <w:pStyle w:val="BodyTextIndent2"/>
        <w:ind w:left="540" w:firstLine="0"/>
        <w:jc w:val="both"/>
        <w:rPr>
          <w:rFonts w:ascii="Times New Roman" w:hAnsi="Times New Roman"/>
          <w:color w:val="000000"/>
          <w:sz w:val="24"/>
          <w:szCs w:val="24"/>
        </w:rPr>
      </w:pPr>
      <w:r>
        <w:rPr>
          <w:rFonts w:ascii="Times New Roman" w:hAnsi="Times New Roman"/>
          <w:color w:val="000000"/>
          <w:sz w:val="24"/>
          <w:szCs w:val="24"/>
        </w:rPr>
        <w:t xml:space="preserve">The Group has no material litigation </w:t>
      </w:r>
      <w:r w:rsidR="00B97EE6">
        <w:rPr>
          <w:rFonts w:ascii="Times New Roman" w:hAnsi="Times New Roman"/>
          <w:color w:val="000000"/>
          <w:sz w:val="24"/>
          <w:szCs w:val="24"/>
        </w:rPr>
        <w:t xml:space="preserve">which </w:t>
      </w:r>
      <w:r>
        <w:rPr>
          <w:rFonts w:ascii="Times New Roman" w:hAnsi="Times New Roman"/>
          <w:color w:val="000000"/>
          <w:sz w:val="24"/>
          <w:szCs w:val="24"/>
        </w:rPr>
        <w:t xml:space="preserve">will affect its </w:t>
      </w:r>
      <w:r w:rsidR="00B97EE6">
        <w:rPr>
          <w:rFonts w:ascii="Times New Roman" w:hAnsi="Times New Roman"/>
          <w:color w:val="000000"/>
          <w:sz w:val="24"/>
          <w:szCs w:val="24"/>
        </w:rPr>
        <w:t xml:space="preserve">financial position or business </w:t>
      </w:r>
      <w:r>
        <w:rPr>
          <w:rFonts w:ascii="Times New Roman" w:hAnsi="Times New Roman"/>
          <w:color w:val="000000"/>
          <w:sz w:val="24"/>
          <w:szCs w:val="24"/>
        </w:rPr>
        <w:t>operations.</w:t>
      </w:r>
    </w:p>
    <w:p w:rsidR="009A0E56" w:rsidRDefault="009A0E56" w:rsidP="009A0E56">
      <w:pPr>
        <w:pStyle w:val="BodyTextIndent2"/>
        <w:ind w:left="540" w:hanging="540"/>
        <w:jc w:val="both"/>
        <w:rPr>
          <w:rFonts w:ascii="Times New Roman" w:hAnsi="Times New Roman"/>
          <w:color w:val="000000"/>
          <w:sz w:val="24"/>
          <w:szCs w:val="24"/>
        </w:rPr>
      </w:pPr>
    </w:p>
    <w:p w:rsidR="00585ACF" w:rsidRDefault="00585ACF" w:rsidP="009A0E56">
      <w:pPr>
        <w:pStyle w:val="BodyTextIndent2"/>
        <w:ind w:left="540" w:hanging="540"/>
        <w:jc w:val="both"/>
        <w:rPr>
          <w:rFonts w:ascii="Times New Roman" w:hAnsi="Times New Roman"/>
          <w:b/>
          <w:color w:val="000000"/>
          <w:sz w:val="24"/>
          <w:szCs w:val="24"/>
        </w:rPr>
      </w:pPr>
    </w:p>
    <w:p w:rsidR="00B97EE6" w:rsidRPr="009A0E56" w:rsidRDefault="00B97EE6" w:rsidP="009A0E56">
      <w:pPr>
        <w:pStyle w:val="BodyTextIndent2"/>
        <w:ind w:left="540" w:hanging="540"/>
        <w:jc w:val="both"/>
        <w:rPr>
          <w:rFonts w:ascii="Times New Roman" w:hAnsi="Times New Roman"/>
          <w:color w:val="000000"/>
          <w:sz w:val="24"/>
          <w:szCs w:val="24"/>
        </w:rPr>
      </w:pPr>
      <w:r w:rsidRPr="00B97EE6">
        <w:rPr>
          <w:rFonts w:ascii="Times New Roman" w:hAnsi="Times New Roman"/>
          <w:b/>
          <w:color w:val="000000"/>
          <w:sz w:val="24"/>
          <w:szCs w:val="24"/>
        </w:rPr>
        <w:t xml:space="preserve">B9. </w:t>
      </w:r>
      <w:r>
        <w:rPr>
          <w:rFonts w:ascii="Times New Roman" w:hAnsi="Times New Roman"/>
          <w:b/>
          <w:color w:val="000000"/>
          <w:sz w:val="24"/>
          <w:szCs w:val="24"/>
        </w:rPr>
        <w:t>Dividends</w:t>
      </w:r>
    </w:p>
    <w:p w:rsidR="00B97EE6" w:rsidRDefault="00B97EE6" w:rsidP="00B97EE6">
      <w:pPr>
        <w:pStyle w:val="BodyTextIndent2"/>
        <w:tabs>
          <w:tab w:val="left" w:pos="1080"/>
        </w:tabs>
        <w:ind w:hanging="630"/>
        <w:jc w:val="both"/>
        <w:rPr>
          <w:rFonts w:ascii="Times New Roman" w:hAnsi="Times New Roman"/>
          <w:b/>
          <w:color w:val="000000"/>
          <w:sz w:val="24"/>
          <w:szCs w:val="24"/>
        </w:rPr>
      </w:pPr>
    </w:p>
    <w:p w:rsidR="00FC669F" w:rsidRPr="00B97EE6" w:rsidRDefault="00B97EE6" w:rsidP="00B97EE6">
      <w:pPr>
        <w:pStyle w:val="BodyTextIndent2"/>
        <w:tabs>
          <w:tab w:val="left" w:pos="1080"/>
        </w:tabs>
        <w:ind w:hanging="630"/>
        <w:jc w:val="both"/>
        <w:rPr>
          <w:rFonts w:ascii="Times New Roman" w:hAnsi="Times New Roman"/>
          <w:color w:val="000000"/>
          <w:sz w:val="24"/>
          <w:szCs w:val="24"/>
        </w:rPr>
      </w:pPr>
      <w:r w:rsidRPr="00B97EE6">
        <w:rPr>
          <w:rFonts w:ascii="Times New Roman" w:hAnsi="Times New Roman"/>
          <w:color w:val="000000"/>
          <w:sz w:val="24"/>
          <w:szCs w:val="24"/>
        </w:rPr>
        <w:t>No</w:t>
      </w:r>
      <w:r w:rsidR="00EC39AF">
        <w:rPr>
          <w:rFonts w:ascii="Times New Roman" w:hAnsi="Times New Roman"/>
          <w:color w:val="000000"/>
          <w:sz w:val="24"/>
          <w:szCs w:val="24"/>
        </w:rPr>
        <w:t xml:space="preserve"> </w:t>
      </w:r>
      <w:r w:rsidRPr="00B97EE6">
        <w:rPr>
          <w:rFonts w:ascii="Times New Roman" w:hAnsi="Times New Roman"/>
          <w:color w:val="000000"/>
          <w:sz w:val="24"/>
          <w:szCs w:val="24"/>
        </w:rPr>
        <w:t>dividends had been declared in respect of the current quarter under review.</w:t>
      </w:r>
      <w:r w:rsidR="00123C68" w:rsidRPr="00B97EE6">
        <w:rPr>
          <w:rFonts w:ascii="Times New Roman" w:hAnsi="Times New Roman"/>
          <w:color w:val="000000"/>
          <w:sz w:val="24"/>
          <w:szCs w:val="24"/>
        </w:rPr>
        <w:tab/>
      </w:r>
    </w:p>
    <w:p w:rsidR="00585ACF" w:rsidRDefault="00585ACF" w:rsidP="00C821B4">
      <w:pPr>
        <w:outlineLvl w:val="0"/>
        <w:rPr>
          <w:b/>
          <w:color w:val="000000"/>
        </w:rPr>
      </w:pPr>
    </w:p>
    <w:p w:rsidR="00F54E32" w:rsidRDefault="00F54E32" w:rsidP="00C821B4">
      <w:pPr>
        <w:outlineLvl w:val="0"/>
        <w:rPr>
          <w:b/>
          <w:color w:val="000000"/>
        </w:rPr>
      </w:pPr>
    </w:p>
    <w:p w:rsidR="00C821B4" w:rsidRPr="00DD3C30" w:rsidRDefault="00C821B4" w:rsidP="00C821B4">
      <w:pPr>
        <w:outlineLvl w:val="0"/>
        <w:rPr>
          <w:b/>
          <w:color w:val="000000"/>
        </w:rPr>
      </w:pPr>
      <w:r w:rsidRPr="00DD3C30">
        <w:rPr>
          <w:b/>
          <w:color w:val="000000"/>
        </w:rPr>
        <w:t>BORNEO OIL BERHAD</w:t>
      </w:r>
    </w:p>
    <w:p w:rsidR="00C821B4" w:rsidRPr="00DD3C30" w:rsidRDefault="00C821B4" w:rsidP="00C821B4">
      <w:pPr>
        <w:rPr>
          <w:i/>
          <w:color w:val="000000"/>
        </w:rPr>
      </w:pPr>
      <w:r w:rsidRPr="00DD3C30">
        <w:rPr>
          <w:i/>
          <w:color w:val="000000"/>
        </w:rPr>
        <w:t>(Company No. 121919-H)</w:t>
      </w:r>
    </w:p>
    <w:p w:rsidR="00C821B4" w:rsidRPr="00DD3C30" w:rsidRDefault="00C821B4" w:rsidP="00C821B4">
      <w:pPr>
        <w:outlineLvl w:val="0"/>
        <w:rPr>
          <w:b/>
          <w:color w:val="000000"/>
        </w:rPr>
      </w:pPr>
      <w:r w:rsidRPr="00DD3C30">
        <w:rPr>
          <w:b/>
          <w:color w:val="000000"/>
        </w:rPr>
        <w:t>Incorporated in Malaysia</w:t>
      </w:r>
    </w:p>
    <w:p w:rsidR="00C821B4" w:rsidRPr="00DD3C30" w:rsidRDefault="00C821B4" w:rsidP="00C821B4">
      <w:pPr>
        <w:rPr>
          <w:b/>
          <w:color w:val="000000"/>
        </w:rPr>
      </w:pPr>
    </w:p>
    <w:p w:rsidR="00C821B4" w:rsidRPr="004818F5" w:rsidRDefault="00C821B4" w:rsidP="00C821B4">
      <w:pPr>
        <w:outlineLvl w:val="0"/>
        <w:rPr>
          <w:b/>
          <w:color w:val="000000"/>
          <w:sz w:val="22"/>
          <w:szCs w:val="22"/>
        </w:rPr>
      </w:pPr>
      <w:r w:rsidRPr="00DD3C30">
        <w:rPr>
          <w:b/>
          <w:color w:val="000000"/>
        </w:rPr>
        <w:t xml:space="preserve">Notes on the quarterly report – </w:t>
      </w:r>
      <w:r w:rsidR="000C55E2">
        <w:rPr>
          <w:b/>
          <w:color w:val="000000"/>
          <w:sz w:val="22"/>
          <w:szCs w:val="22"/>
        </w:rPr>
        <w:t>3</w:t>
      </w:r>
      <w:r w:rsidR="00B224FE">
        <w:rPr>
          <w:b/>
          <w:color w:val="000000"/>
          <w:sz w:val="22"/>
          <w:szCs w:val="22"/>
        </w:rPr>
        <w:t>1 July</w:t>
      </w:r>
      <w:r w:rsidR="000C55E2">
        <w:rPr>
          <w:b/>
          <w:color w:val="000000"/>
          <w:sz w:val="22"/>
          <w:szCs w:val="22"/>
        </w:rPr>
        <w:t>201</w:t>
      </w:r>
      <w:r w:rsidR="000A694B">
        <w:rPr>
          <w:b/>
          <w:color w:val="000000"/>
          <w:sz w:val="22"/>
          <w:szCs w:val="22"/>
        </w:rPr>
        <w:t>4</w:t>
      </w:r>
    </w:p>
    <w:p w:rsidR="00C821B4" w:rsidRPr="00DD3C30" w:rsidRDefault="00C821B4" w:rsidP="00C821B4">
      <w:pPr>
        <w:pBdr>
          <w:bottom w:val="single" w:sz="4" w:space="1" w:color="auto"/>
        </w:pBdr>
        <w:ind w:left="720" w:hanging="720"/>
        <w:jc w:val="both"/>
        <w:rPr>
          <w:b/>
          <w:color w:val="000000"/>
        </w:rPr>
      </w:pPr>
      <w:r w:rsidRPr="00DD3C30">
        <w:rPr>
          <w:b/>
          <w:color w:val="000000"/>
        </w:rPr>
        <w:tab/>
      </w:r>
      <w:r w:rsidRPr="00DD3C30">
        <w:rPr>
          <w:b/>
          <w:color w:val="000000"/>
        </w:rPr>
        <w:tab/>
      </w:r>
      <w:r w:rsidRPr="00DD3C30">
        <w:rPr>
          <w:b/>
          <w:color w:val="000000"/>
        </w:rPr>
        <w:tab/>
      </w:r>
      <w:r w:rsidRPr="00DD3C30">
        <w:rPr>
          <w:b/>
          <w:color w:val="000000"/>
        </w:rPr>
        <w:tab/>
      </w:r>
      <w:r w:rsidRPr="00DD3C30">
        <w:rPr>
          <w:b/>
          <w:color w:val="000000"/>
        </w:rPr>
        <w:tab/>
      </w:r>
      <w:r w:rsidRPr="00DD3C30">
        <w:rPr>
          <w:b/>
          <w:color w:val="000000"/>
        </w:rPr>
        <w:tab/>
      </w:r>
      <w:r w:rsidRPr="00DD3C30">
        <w:rPr>
          <w:b/>
          <w:color w:val="000000"/>
        </w:rPr>
        <w:tab/>
      </w:r>
      <w:r w:rsidRPr="00DD3C30">
        <w:rPr>
          <w:b/>
          <w:color w:val="000000"/>
        </w:rPr>
        <w:tab/>
      </w:r>
    </w:p>
    <w:p w:rsidR="00C821B4" w:rsidRPr="00DD3C30" w:rsidRDefault="00C821B4" w:rsidP="00C821B4">
      <w:pPr>
        <w:rPr>
          <w:b/>
          <w:color w:val="000000"/>
        </w:rPr>
      </w:pPr>
    </w:p>
    <w:p w:rsidR="00CA7646" w:rsidRDefault="00D04B4E" w:rsidP="00350B3D">
      <w:pPr>
        <w:pStyle w:val="BodyTextIndent2"/>
        <w:tabs>
          <w:tab w:val="left" w:pos="1080"/>
        </w:tabs>
        <w:jc w:val="both"/>
        <w:rPr>
          <w:rFonts w:ascii="Times New Roman" w:hAnsi="Times New Roman"/>
          <w:b/>
          <w:color w:val="000000"/>
          <w:sz w:val="24"/>
          <w:szCs w:val="24"/>
        </w:rPr>
      </w:pPr>
      <w:r w:rsidRPr="00D04B4E">
        <w:rPr>
          <w:rFonts w:ascii="Times New Roman" w:hAnsi="Times New Roman"/>
          <w:b/>
          <w:color w:val="000000"/>
          <w:sz w:val="24"/>
          <w:szCs w:val="24"/>
        </w:rPr>
        <w:t xml:space="preserve">B10. </w:t>
      </w:r>
      <w:r w:rsidRPr="00D04B4E">
        <w:rPr>
          <w:rFonts w:ascii="Times New Roman" w:hAnsi="Times New Roman"/>
          <w:b/>
          <w:color w:val="000000"/>
          <w:sz w:val="24"/>
          <w:szCs w:val="24"/>
        </w:rPr>
        <w:tab/>
        <w:t>Earnings per share</w:t>
      </w:r>
    </w:p>
    <w:p w:rsidR="00D04B4E" w:rsidRPr="00D04B4E" w:rsidRDefault="00D04B4E" w:rsidP="00350B3D">
      <w:pPr>
        <w:pStyle w:val="BodyTextIndent2"/>
        <w:tabs>
          <w:tab w:val="left" w:pos="1080"/>
        </w:tabs>
        <w:jc w:val="both"/>
        <w:rPr>
          <w:rFonts w:ascii="Times New Roman" w:hAnsi="Times New Roman"/>
          <w:b/>
          <w:color w:val="000000"/>
          <w:sz w:val="24"/>
          <w:szCs w:val="24"/>
        </w:rPr>
      </w:pPr>
      <w:r>
        <w:rPr>
          <w:rFonts w:ascii="Times New Roman" w:hAnsi="Times New Roman"/>
          <w:b/>
          <w:color w:val="000000"/>
          <w:sz w:val="24"/>
          <w:szCs w:val="24"/>
        </w:rPr>
        <w:tab/>
      </w:r>
      <w:r w:rsidR="00C008B1" w:rsidRPr="00CE7A6A">
        <w:rPr>
          <w:rFonts w:ascii="Times New Roman" w:hAnsi="Times New Roman"/>
          <w:b/>
          <w:color w:val="000000"/>
          <w:sz w:val="24"/>
          <w:szCs w:val="24"/>
        </w:rPr>
        <w:object w:dxaOrig="9450" w:dyaOrig="3534">
          <v:shape id="_x0000_i1030" type="#_x0000_t75" style="width:472.5pt;height:177pt" o:ole="">
            <v:imagedata r:id="rId24" o:title=""/>
          </v:shape>
          <o:OLEObject Type="Embed" ProgID="Excel.Sheet.12" ShapeID="_x0000_i1030" DrawAspect="Content" ObjectID="_1473602799" r:id="rId25"/>
        </w:object>
      </w:r>
    </w:p>
    <w:p w:rsidR="00B6420E" w:rsidRPr="00C8215A" w:rsidRDefault="00C8215A" w:rsidP="00C8215A">
      <w:pPr>
        <w:ind w:left="720"/>
        <w:rPr>
          <w:color w:val="000000"/>
        </w:rPr>
      </w:pPr>
      <w:r w:rsidRPr="00C8215A">
        <w:rPr>
          <w:color w:val="000000"/>
        </w:rPr>
        <w:t>There are no diluted earnings per share as the Company does not have any share option in issue at the current quarter under review.</w:t>
      </w:r>
    </w:p>
    <w:p w:rsidR="00CA7646" w:rsidRPr="00A24AD2" w:rsidRDefault="00CA7646" w:rsidP="00CA7646">
      <w:pPr>
        <w:pStyle w:val="BodyTextIndent2"/>
        <w:tabs>
          <w:tab w:val="left" w:pos="1080"/>
        </w:tabs>
        <w:ind w:left="0" w:firstLine="0"/>
        <w:jc w:val="both"/>
        <w:rPr>
          <w:rFonts w:ascii="Times New Roman" w:hAnsi="Times New Roman"/>
          <w:b/>
          <w:color w:val="000000"/>
          <w:sz w:val="24"/>
          <w:szCs w:val="24"/>
        </w:rPr>
      </w:pPr>
    </w:p>
    <w:p w:rsidR="00C8215A" w:rsidRDefault="00C8215A" w:rsidP="00A46DE1">
      <w:pPr>
        <w:jc w:val="both"/>
        <w:outlineLvl w:val="0"/>
        <w:rPr>
          <w:b/>
          <w:color w:val="000000"/>
        </w:rPr>
      </w:pPr>
    </w:p>
    <w:p w:rsidR="00C8215A" w:rsidRDefault="00C8215A" w:rsidP="00A46DE1">
      <w:pPr>
        <w:jc w:val="both"/>
        <w:outlineLvl w:val="0"/>
        <w:rPr>
          <w:b/>
          <w:color w:val="000000"/>
        </w:rPr>
      </w:pPr>
      <w:r>
        <w:rPr>
          <w:b/>
          <w:color w:val="000000"/>
        </w:rPr>
        <w:t>B11.</w:t>
      </w:r>
      <w:r>
        <w:rPr>
          <w:b/>
          <w:color w:val="000000"/>
        </w:rPr>
        <w:tab/>
        <w:t>Realised and Unrealised Profits/</w:t>
      </w:r>
      <w:r w:rsidR="006D6493">
        <w:rPr>
          <w:b/>
          <w:color w:val="000000"/>
        </w:rPr>
        <w:t>(</w:t>
      </w:r>
      <w:r>
        <w:rPr>
          <w:b/>
          <w:color w:val="000000"/>
        </w:rPr>
        <w:t>Losses</w:t>
      </w:r>
      <w:r w:rsidR="006D6493">
        <w:rPr>
          <w:b/>
          <w:color w:val="000000"/>
        </w:rPr>
        <w:t>)</w:t>
      </w:r>
      <w:r>
        <w:rPr>
          <w:b/>
          <w:color w:val="000000"/>
        </w:rPr>
        <w:t xml:space="preserve"> Disclosure</w:t>
      </w:r>
    </w:p>
    <w:p w:rsidR="00C8215A" w:rsidRDefault="00C8215A" w:rsidP="00A46DE1">
      <w:pPr>
        <w:jc w:val="both"/>
        <w:outlineLvl w:val="0"/>
        <w:rPr>
          <w:b/>
          <w:color w:val="000000"/>
        </w:rPr>
      </w:pPr>
    </w:p>
    <w:p w:rsidR="003F67D3" w:rsidRPr="00A24AD2" w:rsidRDefault="00221BA0" w:rsidP="00FC55F7">
      <w:pPr>
        <w:ind w:firstLine="720"/>
        <w:jc w:val="both"/>
        <w:outlineLvl w:val="0"/>
        <w:rPr>
          <w:b/>
          <w:color w:val="000000"/>
        </w:rPr>
      </w:pPr>
      <w:r w:rsidRPr="00CE7A6A">
        <w:rPr>
          <w:b/>
          <w:color w:val="000000"/>
        </w:rPr>
        <w:object w:dxaOrig="9029" w:dyaOrig="3528">
          <v:shape id="_x0000_i1031" type="#_x0000_t75" style="width:451.5pt;height:177pt" o:ole="">
            <v:imagedata r:id="rId26" o:title=""/>
          </v:shape>
          <o:OLEObject Type="Embed" ProgID="Excel.Sheet.12" ShapeID="_x0000_i1031" DrawAspect="Content" ObjectID="_1473602800" r:id="rId27"/>
        </w:object>
      </w:r>
      <w:r w:rsidR="003F67D3" w:rsidRPr="00A24AD2">
        <w:rPr>
          <w:b/>
          <w:color w:val="000000"/>
        </w:rPr>
        <w:tab/>
      </w:r>
    </w:p>
    <w:p w:rsidR="003F67D3" w:rsidRPr="00A67AE6" w:rsidRDefault="00A67AE6" w:rsidP="00A67AE6">
      <w:pPr>
        <w:pStyle w:val="BodyTextIndent2"/>
        <w:tabs>
          <w:tab w:val="left" w:pos="1530"/>
        </w:tabs>
        <w:ind w:left="0" w:firstLine="0"/>
        <w:jc w:val="both"/>
        <w:rPr>
          <w:rFonts w:ascii="Times New Roman" w:hAnsi="Times New Roman"/>
          <w:color w:val="000000"/>
          <w:sz w:val="24"/>
          <w:szCs w:val="24"/>
        </w:rPr>
      </w:pPr>
      <w:r w:rsidRPr="00A67AE6">
        <w:rPr>
          <w:rFonts w:ascii="Times New Roman" w:hAnsi="Times New Roman"/>
          <w:color w:val="000000"/>
          <w:sz w:val="24"/>
          <w:szCs w:val="24"/>
        </w:rPr>
        <w:t>The disclosure of realised and unrealised profits / losses above is solely for compliance with the directive issued by the Bursa Malaysia Securities Berhad and should not be used for any other purpose.</w:t>
      </w:r>
      <w:r w:rsidR="00FE113C" w:rsidRPr="00A67AE6">
        <w:rPr>
          <w:rFonts w:ascii="Times New Roman" w:hAnsi="Times New Roman"/>
          <w:color w:val="000000"/>
          <w:sz w:val="24"/>
          <w:szCs w:val="24"/>
        </w:rPr>
        <w:tab/>
      </w:r>
    </w:p>
    <w:tbl>
      <w:tblPr>
        <w:tblW w:w="11702" w:type="dxa"/>
        <w:tblInd w:w="18" w:type="dxa"/>
        <w:tblLayout w:type="fixed"/>
        <w:tblLook w:val="0000"/>
      </w:tblPr>
      <w:tblGrid>
        <w:gridCol w:w="8928"/>
        <w:gridCol w:w="1620"/>
        <w:gridCol w:w="918"/>
        <w:gridCol w:w="236"/>
      </w:tblGrid>
      <w:tr w:rsidR="003F67D3" w:rsidRPr="00A24AD2" w:rsidTr="00A67AE6">
        <w:trPr>
          <w:gridAfter w:val="2"/>
          <w:wAfter w:w="1154" w:type="dxa"/>
        </w:trPr>
        <w:tc>
          <w:tcPr>
            <w:tcW w:w="8928" w:type="dxa"/>
          </w:tcPr>
          <w:p w:rsidR="003F67D3" w:rsidRPr="00A24AD2" w:rsidRDefault="003F67D3">
            <w:pPr>
              <w:rPr>
                <w:color w:val="000000"/>
              </w:rPr>
            </w:pPr>
          </w:p>
        </w:tc>
        <w:tc>
          <w:tcPr>
            <w:tcW w:w="1620" w:type="dxa"/>
          </w:tcPr>
          <w:p w:rsidR="003F67D3" w:rsidRPr="00A24AD2" w:rsidRDefault="003F67D3">
            <w:pPr>
              <w:jc w:val="right"/>
              <w:rPr>
                <w:rFonts w:eastAsia="Arial Unicode MS"/>
                <w:color w:val="000000"/>
              </w:rPr>
            </w:pPr>
          </w:p>
        </w:tc>
      </w:tr>
      <w:tr w:rsidR="003F67D3" w:rsidRPr="00A24AD2" w:rsidTr="00A67AE6">
        <w:tc>
          <w:tcPr>
            <w:tcW w:w="11466" w:type="dxa"/>
            <w:gridSpan w:val="3"/>
          </w:tcPr>
          <w:p w:rsidR="003F67D3" w:rsidRPr="00A24AD2" w:rsidRDefault="003F67D3" w:rsidP="00A67AE6">
            <w:pPr>
              <w:spacing w:line="192" w:lineRule="auto"/>
              <w:ind w:left="-720"/>
              <w:rPr>
                <w:color w:val="000000"/>
              </w:rPr>
            </w:pPr>
          </w:p>
        </w:tc>
        <w:tc>
          <w:tcPr>
            <w:tcW w:w="236" w:type="dxa"/>
          </w:tcPr>
          <w:p w:rsidR="003F67D3" w:rsidRPr="00A24AD2" w:rsidRDefault="003F67D3" w:rsidP="00A67AE6">
            <w:pPr>
              <w:ind w:left="-720"/>
              <w:jc w:val="right"/>
              <w:rPr>
                <w:rFonts w:eastAsia="Arial Unicode MS"/>
                <w:color w:val="000000"/>
              </w:rPr>
            </w:pPr>
          </w:p>
        </w:tc>
      </w:tr>
      <w:tr w:rsidR="003F67D3" w:rsidRPr="00A24AD2" w:rsidTr="00A67AE6">
        <w:trPr>
          <w:gridAfter w:val="2"/>
          <w:wAfter w:w="1154" w:type="dxa"/>
        </w:trPr>
        <w:tc>
          <w:tcPr>
            <w:tcW w:w="8928" w:type="dxa"/>
          </w:tcPr>
          <w:p w:rsidR="003F67D3" w:rsidRPr="00A24AD2" w:rsidRDefault="003F67D3">
            <w:pPr>
              <w:rPr>
                <w:color w:val="000000"/>
              </w:rPr>
            </w:pPr>
          </w:p>
        </w:tc>
        <w:tc>
          <w:tcPr>
            <w:tcW w:w="1620" w:type="dxa"/>
          </w:tcPr>
          <w:p w:rsidR="003F67D3" w:rsidRPr="00A24AD2" w:rsidRDefault="003F67D3" w:rsidP="004D639E">
            <w:pPr>
              <w:jc w:val="right"/>
              <w:rPr>
                <w:rFonts w:eastAsia="Arial Unicode MS"/>
                <w:color w:val="000000"/>
              </w:rPr>
            </w:pPr>
          </w:p>
        </w:tc>
      </w:tr>
      <w:tr w:rsidR="003F67D3" w:rsidRPr="00A24AD2" w:rsidTr="00A67AE6">
        <w:trPr>
          <w:gridAfter w:val="2"/>
          <w:wAfter w:w="1154" w:type="dxa"/>
        </w:trPr>
        <w:tc>
          <w:tcPr>
            <w:tcW w:w="8928" w:type="dxa"/>
          </w:tcPr>
          <w:p w:rsidR="00666280" w:rsidRDefault="00666280" w:rsidP="00A67AE6">
            <w:pPr>
              <w:outlineLvl w:val="0"/>
              <w:rPr>
                <w:b/>
                <w:color w:val="000000"/>
              </w:rPr>
            </w:pPr>
          </w:p>
          <w:p w:rsidR="00CA361C" w:rsidRDefault="00CA361C" w:rsidP="00A67AE6">
            <w:pPr>
              <w:outlineLvl w:val="0"/>
              <w:rPr>
                <w:b/>
                <w:color w:val="000000"/>
              </w:rPr>
            </w:pPr>
          </w:p>
          <w:p w:rsidR="00033F8D" w:rsidRDefault="00033F8D" w:rsidP="00A67AE6">
            <w:pPr>
              <w:outlineLvl w:val="0"/>
              <w:rPr>
                <w:b/>
                <w:color w:val="000000"/>
              </w:rPr>
            </w:pPr>
          </w:p>
          <w:p w:rsidR="00666280" w:rsidRDefault="00666280" w:rsidP="00A67AE6">
            <w:pPr>
              <w:outlineLvl w:val="0"/>
              <w:rPr>
                <w:b/>
                <w:color w:val="000000"/>
              </w:rPr>
            </w:pPr>
          </w:p>
          <w:p w:rsidR="00A67AE6" w:rsidRPr="00DD3C30" w:rsidRDefault="00A67AE6" w:rsidP="00A67AE6">
            <w:pPr>
              <w:outlineLvl w:val="0"/>
              <w:rPr>
                <w:b/>
                <w:color w:val="000000"/>
              </w:rPr>
            </w:pPr>
            <w:r w:rsidRPr="00DD3C30">
              <w:rPr>
                <w:b/>
                <w:color w:val="000000"/>
              </w:rPr>
              <w:lastRenderedPageBreak/>
              <w:t>BORNEO OIL BERHAD</w:t>
            </w:r>
          </w:p>
          <w:p w:rsidR="00A67AE6" w:rsidRPr="00DD3C30" w:rsidRDefault="00A67AE6" w:rsidP="00A67AE6">
            <w:pPr>
              <w:rPr>
                <w:i/>
                <w:color w:val="000000"/>
              </w:rPr>
            </w:pPr>
            <w:r w:rsidRPr="00DD3C30">
              <w:rPr>
                <w:i/>
                <w:color w:val="000000"/>
              </w:rPr>
              <w:t>(Company No. 121919-H)</w:t>
            </w:r>
          </w:p>
          <w:p w:rsidR="00A67AE6" w:rsidRPr="00DD3C30" w:rsidRDefault="00A67AE6" w:rsidP="00A67AE6">
            <w:pPr>
              <w:outlineLvl w:val="0"/>
              <w:rPr>
                <w:b/>
                <w:color w:val="000000"/>
              </w:rPr>
            </w:pPr>
            <w:r w:rsidRPr="00DD3C30">
              <w:rPr>
                <w:b/>
                <w:color w:val="000000"/>
              </w:rPr>
              <w:t>Incorporated in Malaysia</w:t>
            </w:r>
          </w:p>
          <w:p w:rsidR="00A67AE6" w:rsidRPr="00DD3C30" w:rsidRDefault="00A67AE6" w:rsidP="00A67AE6">
            <w:pPr>
              <w:rPr>
                <w:b/>
                <w:color w:val="000000"/>
              </w:rPr>
            </w:pPr>
          </w:p>
          <w:p w:rsidR="004D60CF" w:rsidRPr="00DD3C30" w:rsidRDefault="00A67AE6" w:rsidP="004D60CF">
            <w:pPr>
              <w:outlineLvl w:val="0"/>
              <w:rPr>
                <w:b/>
                <w:color w:val="000000"/>
              </w:rPr>
            </w:pPr>
            <w:r w:rsidRPr="00DD3C30">
              <w:rPr>
                <w:b/>
                <w:color w:val="000000"/>
              </w:rPr>
              <w:t xml:space="preserve">Notes on the quarterly report – </w:t>
            </w:r>
            <w:r w:rsidR="004D60CF">
              <w:rPr>
                <w:b/>
                <w:color w:val="000000"/>
                <w:sz w:val="22"/>
                <w:szCs w:val="22"/>
              </w:rPr>
              <w:t>3</w:t>
            </w:r>
            <w:r w:rsidR="00B224FE">
              <w:rPr>
                <w:b/>
                <w:color w:val="000000"/>
                <w:sz w:val="22"/>
                <w:szCs w:val="22"/>
              </w:rPr>
              <w:t>1 July</w:t>
            </w:r>
            <w:r w:rsidR="004D60CF">
              <w:rPr>
                <w:b/>
                <w:color w:val="000000"/>
                <w:sz w:val="22"/>
                <w:szCs w:val="22"/>
              </w:rPr>
              <w:t xml:space="preserve"> 201</w:t>
            </w:r>
            <w:r w:rsidR="00033F8D">
              <w:rPr>
                <w:b/>
                <w:color w:val="000000"/>
                <w:sz w:val="22"/>
                <w:szCs w:val="22"/>
              </w:rPr>
              <w:t>4</w:t>
            </w:r>
          </w:p>
          <w:p w:rsidR="00A67AE6" w:rsidRPr="00DD3C30" w:rsidRDefault="00A67AE6" w:rsidP="00A67AE6">
            <w:pPr>
              <w:outlineLvl w:val="0"/>
              <w:rPr>
                <w:b/>
                <w:color w:val="000000"/>
              </w:rPr>
            </w:pPr>
          </w:p>
          <w:p w:rsidR="00A67AE6" w:rsidRPr="00DD3C30" w:rsidRDefault="00A67AE6" w:rsidP="00A67AE6">
            <w:pPr>
              <w:pBdr>
                <w:bottom w:val="single" w:sz="4" w:space="1" w:color="auto"/>
              </w:pBdr>
              <w:ind w:left="720" w:hanging="720"/>
              <w:jc w:val="both"/>
              <w:rPr>
                <w:b/>
                <w:color w:val="000000"/>
              </w:rPr>
            </w:pPr>
            <w:r w:rsidRPr="00DD3C30">
              <w:rPr>
                <w:b/>
                <w:color w:val="000000"/>
              </w:rPr>
              <w:tab/>
            </w:r>
            <w:r w:rsidRPr="00DD3C30">
              <w:rPr>
                <w:b/>
                <w:color w:val="000000"/>
              </w:rPr>
              <w:tab/>
            </w:r>
            <w:r w:rsidRPr="00DD3C30">
              <w:rPr>
                <w:b/>
                <w:color w:val="000000"/>
              </w:rPr>
              <w:tab/>
            </w:r>
            <w:r w:rsidRPr="00DD3C30">
              <w:rPr>
                <w:b/>
                <w:color w:val="000000"/>
              </w:rPr>
              <w:tab/>
            </w:r>
            <w:r w:rsidRPr="00DD3C30">
              <w:rPr>
                <w:b/>
                <w:color w:val="000000"/>
              </w:rPr>
              <w:tab/>
            </w:r>
            <w:r w:rsidRPr="00DD3C30">
              <w:rPr>
                <w:b/>
                <w:color w:val="000000"/>
              </w:rPr>
              <w:tab/>
            </w:r>
            <w:r w:rsidRPr="00DD3C30">
              <w:rPr>
                <w:b/>
                <w:color w:val="000000"/>
              </w:rPr>
              <w:tab/>
            </w:r>
            <w:r w:rsidRPr="00DD3C30">
              <w:rPr>
                <w:b/>
                <w:color w:val="000000"/>
              </w:rPr>
              <w:tab/>
            </w:r>
          </w:p>
          <w:p w:rsidR="003F67D3" w:rsidRPr="00A24AD2" w:rsidRDefault="003F67D3">
            <w:pPr>
              <w:rPr>
                <w:color w:val="000000"/>
              </w:rPr>
            </w:pPr>
          </w:p>
        </w:tc>
        <w:tc>
          <w:tcPr>
            <w:tcW w:w="1620" w:type="dxa"/>
          </w:tcPr>
          <w:p w:rsidR="003F67D3" w:rsidRPr="00A24AD2" w:rsidRDefault="003F67D3">
            <w:pPr>
              <w:jc w:val="right"/>
              <w:rPr>
                <w:rFonts w:eastAsia="Arial Unicode MS"/>
                <w:color w:val="000000"/>
              </w:rPr>
            </w:pPr>
          </w:p>
        </w:tc>
      </w:tr>
    </w:tbl>
    <w:p w:rsidR="003F67D3" w:rsidRPr="00A24AD2" w:rsidRDefault="003F67D3">
      <w:pPr>
        <w:spacing w:line="192" w:lineRule="auto"/>
        <w:rPr>
          <w:color w:val="000000"/>
        </w:rPr>
      </w:pPr>
    </w:p>
    <w:p w:rsidR="003F67D3" w:rsidRDefault="00A67AE6">
      <w:pPr>
        <w:rPr>
          <w:b/>
          <w:color w:val="000000"/>
        </w:rPr>
      </w:pPr>
      <w:r>
        <w:rPr>
          <w:b/>
          <w:color w:val="000000"/>
        </w:rPr>
        <w:t>B12.</w:t>
      </w:r>
      <w:r>
        <w:rPr>
          <w:b/>
          <w:color w:val="000000"/>
        </w:rPr>
        <w:tab/>
        <w:t>Notes to the Condensed Consolidated Statement of Comprehensive Income</w:t>
      </w:r>
    </w:p>
    <w:p w:rsidR="00A67AE6" w:rsidRDefault="00A67AE6">
      <w:pPr>
        <w:rPr>
          <w:b/>
          <w:color w:val="000000"/>
        </w:rPr>
      </w:pPr>
    </w:p>
    <w:p w:rsidR="00A67AE6" w:rsidRDefault="00A67AE6">
      <w:pPr>
        <w:rPr>
          <w:color w:val="000000"/>
        </w:rPr>
      </w:pPr>
      <w:r>
        <w:rPr>
          <w:b/>
          <w:color w:val="000000"/>
        </w:rPr>
        <w:tab/>
      </w:r>
      <w:r w:rsidR="00D722C8" w:rsidRPr="00BD370A">
        <w:rPr>
          <w:color w:val="000000"/>
        </w:rPr>
        <w:t>The result before tax</w:t>
      </w:r>
      <w:r w:rsidRPr="00A67AE6">
        <w:rPr>
          <w:color w:val="000000"/>
        </w:rPr>
        <w:t>is derived</w:t>
      </w:r>
      <w:r w:rsidR="00D722C8">
        <w:rPr>
          <w:color w:val="000000"/>
        </w:rPr>
        <w:t>:</w:t>
      </w:r>
    </w:p>
    <w:p w:rsidR="00A67AE6" w:rsidRDefault="00956CDC" w:rsidP="004D60CF">
      <w:pPr>
        <w:ind w:left="720"/>
        <w:rPr>
          <w:color w:val="000000"/>
        </w:rPr>
      </w:pPr>
      <w:r w:rsidRPr="00CE7A6A">
        <w:rPr>
          <w:color w:val="000000"/>
        </w:rPr>
        <w:object w:dxaOrig="8889" w:dyaOrig="9024">
          <v:shape id="_x0000_i1032" type="#_x0000_t75" style="width:444.75pt;height:451.5pt" o:ole="">
            <v:imagedata r:id="rId28" o:title=""/>
          </v:shape>
          <o:OLEObject Type="Embed" ProgID="Excel.Sheet.12" ShapeID="_x0000_i1032" DrawAspect="Content" ObjectID="_1473602801" r:id="rId29"/>
        </w:object>
      </w:r>
    </w:p>
    <w:p w:rsidR="00A67AE6" w:rsidRDefault="00A67AE6">
      <w:pPr>
        <w:rPr>
          <w:color w:val="000000"/>
        </w:rPr>
      </w:pPr>
    </w:p>
    <w:p w:rsidR="00A67AE6" w:rsidRDefault="00A67AE6">
      <w:pPr>
        <w:rPr>
          <w:color w:val="000000"/>
        </w:rPr>
      </w:pPr>
      <w:r>
        <w:rPr>
          <w:color w:val="000000"/>
        </w:rPr>
        <w:t>By Order of the Board</w:t>
      </w:r>
    </w:p>
    <w:p w:rsidR="00A67AE6" w:rsidRDefault="00A67AE6">
      <w:pPr>
        <w:rPr>
          <w:color w:val="000000"/>
        </w:rPr>
      </w:pPr>
      <w:r>
        <w:rPr>
          <w:color w:val="000000"/>
        </w:rPr>
        <w:t>Chin Siew Kim</w:t>
      </w:r>
    </w:p>
    <w:p w:rsidR="00A67AE6" w:rsidRDefault="00BA09A5">
      <w:pPr>
        <w:rPr>
          <w:color w:val="000000"/>
        </w:rPr>
      </w:pPr>
      <w:r>
        <w:rPr>
          <w:color w:val="000000"/>
        </w:rPr>
        <w:t xml:space="preserve">Company </w:t>
      </w:r>
      <w:r w:rsidR="00A67AE6">
        <w:rPr>
          <w:color w:val="000000"/>
        </w:rPr>
        <w:t>Secretary</w:t>
      </w:r>
    </w:p>
    <w:p w:rsidR="00A67AE6" w:rsidRDefault="00A67AE6">
      <w:pPr>
        <w:rPr>
          <w:color w:val="000000"/>
        </w:rPr>
      </w:pPr>
    </w:p>
    <w:p w:rsidR="00A67AE6" w:rsidRPr="00A67AE6" w:rsidRDefault="00003AD0">
      <w:pPr>
        <w:rPr>
          <w:color w:val="000000"/>
        </w:rPr>
      </w:pPr>
      <w:r>
        <w:rPr>
          <w:color w:val="000000"/>
        </w:rPr>
        <w:t>2</w:t>
      </w:r>
      <w:r w:rsidR="001F4A07">
        <w:rPr>
          <w:color w:val="000000"/>
        </w:rPr>
        <w:t>9 September</w:t>
      </w:r>
      <w:r w:rsidR="00195A95">
        <w:rPr>
          <w:color w:val="000000"/>
        </w:rPr>
        <w:t xml:space="preserve"> </w:t>
      </w:r>
      <w:r w:rsidR="00B12D07">
        <w:rPr>
          <w:color w:val="000000"/>
        </w:rPr>
        <w:t>201</w:t>
      </w:r>
      <w:r w:rsidR="001A79A7">
        <w:rPr>
          <w:color w:val="000000"/>
        </w:rPr>
        <w:t>4</w:t>
      </w:r>
    </w:p>
    <w:sectPr w:rsidR="00A67AE6" w:rsidRPr="00A67AE6" w:rsidSect="006E1DE6">
      <w:pgSz w:w="11909" w:h="16834" w:code="9"/>
      <w:pgMar w:top="450" w:right="929"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B94" w:rsidRPr="00517955" w:rsidRDefault="00EA4B94">
      <w:pPr>
        <w:rPr>
          <w:sz w:val="21"/>
          <w:szCs w:val="21"/>
        </w:rPr>
      </w:pPr>
      <w:r w:rsidRPr="00517955">
        <w:rPr>
          <w:sz w:val="21"/>
          <w:szCs w:val="21"/>
        </w:rPr>
        <w:separator/>
      </w:r>
    </w:p>
  </w:endnote>
  <w:endnote w:type="continuationSeparator" w:id="1">
    <w:p w:rsidR="00EA4B94" w:rsidRPr="00517955" w:rsidRDefault="00EA4B94">
      <w:pPr>
        <w:rPr>
          <w:sz w:val="21"/>
          <w:szCs w:val="21"/>
        </w:rPr>
      </w:pPr>
      <w:r w:rsidRPr="00517955">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7D3" w:rsidRPr="00517955" w:rsidRDefault="003F67D3">
    <w:pPr>
      <w:pStyle w:val="Footer"/>
      <w:jc w:val="center"/>
      <w:rPr>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7D3" w:rsidRPr="00517955" w:rsidRDefault="003F67D3">
    <w:pPr>
      <w:pStyle w:val="Footer"/>
      <w:jc w:val="center"/>
      <w:rPr>
        <w:sz w:val="21"/>
        <w:szCs w:val="21"/>
      </w:rPr>
    </w:pPr>
    <w:r w:rsidRPr="00517955">
      <w:rPr>
        <w:rStyle w:val="PageNumber"/>
        <w:sz w:val="21"/>
        <w:szCs w:val="21"/>
      </w:rPr>
      <w:t>-</w:t>
    </w:r>
    <w:r w:rsidR="00565D63" w:rsidRPr="00517955">
      <w:rPr>
        <w:rStyle w:val="PageNumber"/>
        <w:sz w:val="18"/>
        <w:szCs w:val="18"/>
      </w:rPr>
      <w:fldChar w:fldCharType="begin"/>
    </w:r>
    <w:r w:rsidRPr="00517955">
      <w:rPr>
        <w:rStyle w:val="PageNumber"/>
        <w:sz w:val="18"/>
        <w:szCs w:val="18"/>
      </w:rPr>
      <w:instrText xml:space="preserve"> PAGE </w:instrText>
    </w:r>
    <w:r w:rsidR="00565D63" w:rsidRPr="00517955">
      <w:rPr>
        <w:rStyle w:val="PageNumber"/>
        <w:sz w:val="18"/>
        <w:szCs w:val="18"/>
      </w:rPr>
      <w:fldChar w:fldCharType="separate"/>
    </w:r>
    <w:r w:rsidR="00195A95">
      <w:rPr>
        <w:rStyle w:val="PageNumber"/>
        <w:noProof/>
        <w:sz w:val="18"/>
        <w:szCs w:val="18"/>
      </w:rPr>
      <w:t>2</w:t>
    </w:r>
    <w:r w:rsidR="00565D63" w:rsidRPr="00517955">
      <w:rPr>
        <w:rStyle w:val="PageNumber"/>
        <w:sz w:val="18"/>
        <w:szCs w:val="18"/>
      </w:rPr>
      <w:fldChar w:fldCharType="end"/>
    </w:r>
    <w:r w:rsidRPr="00517955">
      <w:rPr>
        <w:rStyle w:val="PageNumber"/>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B94" w:rsidRPr="00517955" w:rsidRDefault="00EA4B94">
      <w:pPr>
        <w:rPr>
          <w:sz w:val="21"/>
          <w:szCs w:val="21"/>
        </w:rPr>
      </w:pPr>
      <w:r w:rsidRPr="00517955">
        <w:rPr>
          <w:sz w:val="21"/>
          <w:szCs w:val="21"/>
        </w:rPr>
        <w:separator/>
      </w:r>
    </w:p>
  </w:footnote>
  <w:footnote w:type="continuationSeparator" w:id="1">
    <w:p w:rsidR="00EA4B94" w:rsidRPr="00517955" w:rsidRDefault="00EA4B94">
      <w:pPr>
        <w:rPr>
          <w:sz w:val="21"/>
          <w:szCs w:val="21"/>
        </w:rPr>
      </w:pPr>
      <w:r w:rsidRPr="00517955">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7D" w:rsidRDefault="00C51A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7D" w:rsidRDefault="00C51A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41E"/>
    <w:multiLevelType w:val="hybridMultilevel"/>
    <w:tmpl w:val="3B5A46CA"/>
    <w:lvl w:ilvl="0" w:tplc="5AC6FBF2">
      <w:numFmt w:val="bullet"/>
      <w:lvlText w:val="-"/>
      <w:lvlJc w:val="left"/>
      <w:pPr>
        <w:ind w:left="405" w:hanging="360"/>
      </w:pPr>
      <w:rPr>
        <w:rFonts w:ascii="Times New Roman" w:eastAsia="SimSu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3C961F7"/>
    <w:multiLevelType w:val="singleLevel"/>
    <w:tmpl w:val="F50087BA"/>
    <w:lvl w:ilvl="0">
      <w:start w:val="1"/>
      <w:numFmt w:val="decimal"/>
      <w:lvlText w:val="%1."/>
      <w:lvlJc w:val="left"/>
      <w:pPr>
        <w:tabs>
          <w:tab w:val="num" w:pos="720"/>
        </w:tabs>
        <w:ind w:left="720" w:hanging="720"/>
      </w:pPr>
      <w:rPr>
        <w:rFonts w:hint="default"/>
      </w:rPr>
    </w:lvl>
  </w:abstractNum>
  <w:abstractNum w:abstractNumId="2">
    <w:nsid w:val="07142F61"/>
    <w:multiLevelType w:val="hybridMultilevel"/>
    <w:tmpl w:val="AA18C97A"/>
    <w:lvl w:ilvl="0" w:tplc="8A6251AE">
      <w:start w:val="1"/>
      <w:numFmt w:val="lowerLetter"/>
      <w:lvlText w:val="(%1)"/>
      <w:lvlJc w:val="left"/>
      <w:pPr>
        <w:tabs>
          <w:tab w:val="num" w:pos="1440"/>
        </w:tabs>
        <w:ind w:left="1440" w:hanging="720"/>
      </w:pPr>
      <w:rPr>
        <w:rFonts w:hint="default"/>
      </w:rPr>
    </w:lvl>
    <w:lvl w:ilvl="1" w:tplc="180AA490" w:tentative="1">
      <w:start w:val="1"/>
      <w:numFmt w:val="lowerLetter"/>
      <w:lvlText w:val="%2."/>
      <w:lvlJc w:val="left"/>
      <w:pPr>
        <w:tabs>
          <w:tab w:val="num" w:pos="1800"/>
        </w:tabs>
        <w:ind w:left="1800" w:hanging="360"/>
      </w:pPr>
    </w:lvl>
    <w:lvl w:ilvl="2" w:tplc="C0889A48" w:tentative="1">
      <w:start w:val="1"/>
      <w:numFmt w:val="lowerRoman"/>
      <w:lvlText w:val="%3."/>
      <w:lvlJc w:val="right"/>
      <w:pPr>
        <w:tabs>
          <w:tab w:val="num" w:pos="2520"/>
        </w:tabs>
        <w:ind w:left="2520" w:hanging="180"/>
      </w:pPr>
    </w:lvl>
    <w:lvl w:ilvl="3" w:tplc="624C9468" w:tentative="1">
      <w:start w:val="1"/>
      <w:numFmt w:val="decimal"/>
      <w:lvlText w:val="%4."/>
      <w:lvlJc w:val="left"/>
      <w:pPr>
        <w:tabs>
          <w:tab w:val="num" w:pos="3240"/>
        </w:tabs>
        <w:ind w:left="3240" w:hanging="360"/>
      </w:pPr>
    </w:lvl>
    <w:lvl w:ilvl="4" w:tplc="CE4E3476" w:tentative="1">
      <w:start w:val="1"/>
      <w:numFmt w:val="lowerLetter"/>
      <w:lvlText w:val="%5."/>
      <w:lvlJc w:val="left"/>
      <w:pPr>
        <w:tabs>
          <w:tab w:val="num" w:pos="3960"/>
        </w:tabs>
        <w:ind w:left="3960" w:hanging="360"/>
      </w:pPr>
    </w:lvl>
    <w:lvl w:ilvl="5" w:tplc="090C6A64" w:tentative="1">
      <w:start w:val="1"/>
      <w:numFmt w:val="lowerRoman"/>
      <w:lvlText w:val="%6."/>
      <w:lvlJc w:val="right"/>
      <w:pPr>
        <w:tabs>
          <w:tab w:val="num" w:pos="4680"/>
        </w:tabs>
        <w:ind w:left="4680" w:hanging="180"/>
      </w:pPr>
    </w:lvl>
    <w:lvl w:ilvl="6" w:tplc="E1922E12" w:tentative="1">
      <w:start w:val="1"/>
      <w:numFmt w:val="decimal"/>
      <w:lvlText w:val="%7."/>
      <w:lvlJc w:val="left"/>
      <w:pPr>
        <w:tabs>
          <w:tab w:val="num" w:pos="5400"/>
        </w:tabs>
        <w:ind w:left="5400" w:hanging="360"/>
      </w:pPr>
    </w:lvl>
    <w:lvl w:ilvl="7" w:tplc="E4BEEAFE" w:tentative="1">
      <w:start w:val="1"/>
      <w:numFmt w:val="lowerLetter"/>
      <w:lvlText w:val="%8."/>
      <w:lvlJc w:val="left"/>
      <w:pPr>
        <w:tabs>
          <w:tab w:val="num" w:pos="6120"/>
        </w:tabs>
        <w:ind w:left="6120" w:hanging="360"/>
      </w:pPr>
    </w:lvl>
    <w:lvl w:ilvl="8" w:tplc="C882A5DC" w:tentative="1">
      <w:start w:val="1"/>
      <w:numFmt w:val="lowerRoman"/>
      <w:lvlText w:val="%9."/>
      <w:lvlJc w:val="right"/>
      <w:pPr>
        <w:tabs>
          <w:tab w:val="num" w:pos="6840"/>
        </w:tabs>
        <w:ind w:left="6840" w:hanging="180"/>
      </w:pPr>
    </w:lvl>
  </w:abstractNum>
  <w:abstractNum w:abstractNumId="3">
    <w:nsid w:val="0C3E67FE"/>
    <w:multiLevelType w:val="hybridMultilevel"/>
    <w:tmpl w:val="BDF4CF1C"/>
    <w:lvl w:ilvl="0" w:tplc="50D0B1F8">
      <w:start w:val="1"/>
      <w:numFmt w:val="lowerLetter"/>
      <w:lvlText w:val="(%1)"/>
      <w:lvlJc w:val="left"/>
      <w:pPr>
        <w:tabs>
          <w:tab w:val="num" w:pos="1080"/>
        </w:tabs>
        <w:ind w:left="1080" w:hanging="360"/>
      </w:pPr>
      <w:rPr>
        <w:rFonts w:hint="default"/>
      </w:rPr>
    </w:lvl>
    <w:lvl w:ilvl="1" w:tplc="2A9E5C42" w:tentative="1">
      <w:start w:val="1"/>
      <w:numFmt w:val="lowerLetter"/>
      <w:lvlText w:val="%2."/>
      <w:lvlJc w:val="left"/>
      <w:pPr>
        <w:tabs>
          <w:tab w:val="num" w:pos="1800"/>
        </w:tabs>
        <w:ind w:left="1800" w:hanging="360"/>
      </w:pPr>
    </w:lvl>
    <w:lvl w:ilvl="2" w:tplc="D2F4978C" w:tentative="1">
      <w:start w:val="1"/>
      <w:numFmt w:val="lowerRoman"/>
      <w:lvlText w:val="%3."/>
      <w:lvlJc w:val="right"/>
      <w:pPr>
        <w:tabs>
          <w:tab w:val="num" w:pos="2520"/>
        </w:tabs>
        <w:ind w:left="2520" w:hanging="180"/>
      </w:pPr>
    </w:lvl>
    <w:lvl w:ilvl="3" w:tplc="6EA6305C" w:tentative="1">
      <w:start w:val="1"/>
      <w:numFmt w:val="decimal"/>
      <w:lvlText w:val="%4."/>
      <w:lvlJc w:val="left"/>
      <w:pPr>
        <w:tabs>
          <w:tab w:val="num" w:pos="3240"/>
        </w:tabs>
        <w:ind w:left="3240" w:hanging="360"/>
      </w:pPr>
    </w:lvl>
    <w:lvl w:ilvl="4" w:tplc="85186A66" w:tentative="1">
      <w:start w:val="1"/>
      <w:numFmt w:val="lowerLetter"/>
      <w:lvlText w:val="%5."/>
      <w:lvlJc w:val="left"/>
      <w:pPr>
        <w:tabs>
          <w:tab w:val="num" w:pos="3960"/>
        </w:tabs>
        <w:ind w:left="3960" w:hanging="360"/>
      </w:pPr>
    </w:lvl>
    <w:lvl w:ilvl="5" w:tplc="249AB198" w:tentative="1">
      <w:start w:val="1"/>
      <w:numFmt w:val="lowerRoman"/>
      <w:lvlText w:val="%6."/>
      <w:lvlJc w:val="right"/>
      <w:pPr>
        <w:tabs>
          <w:tab w:val="num" w:pos="4680"/>
        </w:tabs>
        <w:ind w:left="4680" w:hanging="180"/>
      </w:pPr>
    </w:lvl>
    <w:lvl w:ilvl="6" w:tplc="C854DCE4" w:tentative="1">
      <w:start w:val="1"/>
      <w:numFmt w:val="decimal"/>
      <w:lvlText w:val="%7."/>
      <w:lvlJc w:val="left"/>
      <w:pPr>
        <w:tabs>
          <w:tab w:val="num" w:pos="5400"/>
        </w:tabs>
        <w:ind w:left="5400" w:hanging="360"/>
      </w:pPr>
    </w:lvl>
    <w:lvl w:ilvl="7" w:tplc="A81EFC70" w:tentative="1">
      <w:start w:val="1"/>
      <w:numFmt w:val="lowerLetter"/>
      <w:lvlText w:val="%8."/>
      <w:lvlJc w:val="left"/>
      <w:pPr>
        <w:tabs>
          <w:tab w:val="num" w:pos="6120"/>
        </w:tabs>
        <w:ind w:left="6120" w:hanging="360"/>
      </w:pPr>
    </w:lvl>
    <w:lvl w:ilvl="8" w:tplc="06F8B394" w:tentative="1">
      <w:start w:val="1"/>
      <w:numFmt w:val="lowerRoman"/>
      <w:lvlText w:val="%9."/>
      <w:lvlJc w:val="right"/>
      <w:pPr>
        <w:tabs>
          <w:tab w:val="num" w:pos="6840"/>
        </w:tabs>
        <w:ind w:left="6840" w:hanging="180"/>
      </w:pPr>
    </w:lvl>
  </w:abstractNum>
  <w:abstractNum w:abstractNumId="4">
    <w:nsid w:val="0F08482A"/>
    <w:multiLevelType w:val="hybridMultilevel"/>
    <w:tmpl w:val="829E6A5C"/>
    <w:lvl w:ilvl="0" w:tplc="74D0F4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60CE0"/>
    <w:multiLevelType w:val="hybridMultilevel"/>
    <w:tmpl w:val="AA18C97A"/>
    <w:lvl w:ilvl="0" w:tplc="F3582CD0">
      <w:start w:val="1"/>
      <w:numFmt w:val="lowerLetter"/>
      <w:lvlText w:val="(%1)"/>
      <w:lvlJc w:val="left"/>
      <w:pPr>
        <w:tabs>
          <w:tab w:val="num" w:pos="1440"/>
        </w:tabs>
        <w:ind w:left="1440" w:hanging="720"/>
      </w:pPr>
      <w:rPr>
        <w:rFonts w:hint="default"/>
      </w:rPr>
    </w:lvl>
    <w:lvl w:ilvl="1" w:tplc="6CA47132" w:tentative="1">
      <w:start w:val="1"/>
      <w:numFmt w:val="lowerLetter"/>
      <w:lvlText w:val="%2."/>
      <w:lvlJc w:val="left"/>
      <w:pPr>
        <w:tabs>
          <w:tab w:val="num" w:pos="1800"/>
        </w:tabs>
        <w:ind w:left="1800" w:hanging="360"/>
      </w:pPr>
    </w:lvl>
    <w:lvl w:ilvl="2" w:tplc="E4A400FC" w:tentative="1">
      <w:start w:val="1"/>
      <w:numFmt w:val="lowerRoman"/>
      <w:lvlText w:val="%3."/>
      <w:lvlJc w:val="right"/>
      <w:pPr>
        <w:tabs>
          <w:tab w:val="num" w:pos="2520"/>
        </w:tabs>
        <w:ind w:left="2520" w:hanging="180"/>
      </w:pPr>
    </w:lvl>
    <w:lvl w:ilvl="3" w:tplc="38B842E6" w:tentative="1">
      <w:start w:val="1"/>
      <w:numFmt w:val="decimal"/>
      <w:lvlText w:val="%4."/>
      <w:lvlJc w:val="left"/>
      <w:pPr>
        <w:tabs>
          <w:tab w:val="num" w:pos="3240"/>
        </w:tabs>
        <w:ind w:left="3240" w:hanging="360"/>
      </w:pPr>
    </w:lvl>
    <w:lvl w:ilvl="4" w:tplc="C57CA3F6" w:tentative="1">
      <w:start w:val="1"/>
      <w:numFmt w:val="lowerLetter"/>
      <w:lvlText w:val="%5."/>
      <w:lvlJc w:val="left"/>
      <w:pPr>
        <w:tabs>
          <w:tab w:val="num" w:pos="3960"/>
        </w:tabs>
        <w:ind w:left="3960" w:hanging="360"/>
      </w:pPr>
    </w:lvl>
    <w:lvl w:ilvl="5" w:tplc="80EA1204" w:tentative="1">
      <w:start w:val="1"/>
      <w:numFmt w:val="lowerRoman"/>
      <w:lvlText w:val="%6."/>
      <w:lvlJc w:val="right"/>
      <w:pPr>
        <w:tabs>
          <w:tab w:val="num" w:pos="4680"/>
        </w:tabs>
        <w:ind w:left="4680" w:hanging="180"/>
      </w:pPr>
    </w:lvl>
    <w:lvl w:ilvl="6" w:tplc="9A1A4C46" w:tentative="1">
      <w:start w:val="1"/>
      <w:numFmt w:val="decimal"/>
      <w:lvlText w:val="%7."/>
      <w:lvlJc w:val="left"/>
      <w:pPr>
        <w:tabs>
          <w:tab w:val="num" w:pos="5400"/>
        </w:tabs>
        <w:ind w:left="5400" w:hanging="360"/>
      </w:pPr>
    </w:lvl>
    <w:lvl w:ilvl="7" w:tplc="A8041938" w:tentative="1">
      <w:start w:val="1"/>
      <w:numFmt w:val="lowerLetter"/>
      <w:lvlText w:val="%8."/>
      <w:lvlJc w:val="left"/>
      <w:pPr>
        <w:tabs>
          <w:tab w:val="num" w:pos="6120"/>
        </w:tabs>
        <w:ind w:left="6120" w:hanging="360"/>
      </w:pPr>
    </w:lvl>
    <w:lvl w:ilvl="8" w:tplc="CD3029A8" w:tentative="1">
      <w:start w:val="1"/>
      <w:numFmt w:val="lowerRoman"/>
      <w:lvlText w:val="%9."/>
      <w:lvlJc w:val="right"/>
      <w:pPr>
        <w:tabs>
          <w:tab w:val="num" w:pos="6840"/>
        </w:tabs>
        <w:ind w:left="6840" w:hanging="180"/>
      </w:pPr>
    </w:lvl>
  </w:abstractNum>
  <w:abstractNum w:abstractNumId="6">
    <w:nsid w:val="1D306071"/>
    <w:multiLevelType w:val="hybridMultilevel"/>
    <w:tmpl w:val="F788B128"/>
    <w:lvl w:ilvl="0" w:tplc="8408BAA0">
      <w:start w:val="2"/>
      <w:numFmt w:val="decimal"/>
      <w:lvlText w:val="%1."/>
      <w:lvlJc w:val="left"/>
      <w:pPr>
        <w:tabs>
          <w:tab w:val="num" w:pos="1065"/>
        </w:tabs>
        <w:ind w:left="1065" w:hanging="705"/>
      </w:pPr>
      <w:rPr>
        <w:rFonts w:hint="default"/>
      </w:rPr>
    </w:lvl>
    <w:lvl w:ilvl="1" w:tplc="1B20E4C2" w:tentative="1">
      <w:start w:val="1"/>
      <w:numFmt w:val="lowerLetter"/>
      <w:lvlText w:val="%2."/>
      <w:lvlJc w:val="left"/>
      <w:pPr>
        <w:tabs>
          <w:tab w:val="num" w:pos="1440"/>
        </w:tabs>
        <w:ind w:left="1440" w:hanging="360"/>
      </w:pPr>
    </w:lvl>
    <w:lvl w:ilvl="2" w:tplc="646CE31E" w:tentative="1">
      <w:start w:val="1"/>
      <w:numFmt w:val="lowerRoman"/>
      <w:lvlText w:val="%3."/>
      <w:lvlJc w:val="right"/>
      <w:pPr>
        <w:tabs>
          <w:tab w:val="num" w:pos="2160"/>
        </w:tabs>
        <w:ind w:left="2160" w:hanging="180"/>
      </w:pPr>
    </w:lvl>
    <w:lvl w:ilvl="3" w:tplc="7C368E4E" w:tentative="1">
      <w:start w:val="1"/>
      <w:numFmt w:val="decimal"/>
      <w:lvlText w:val="%4."/>
      <w:lvlJc w:val="left"/>
      <w:pPr>
        <w:tabs>
          <w:tab w:val="num" w:pos="2880"/>
        </w:tabs>
        <w:ind w:left="2880" w:hanging="360"/>
      </w:pPr>
    </w:lvl>
    <w:lvl w:ilvl="4" w:tplc="B6DA7BE6" w:tentative="1">
      <w:start w:val="1"/>
      <w:numFmt w:val="lowerLetter"/>
      <w:lvlText w:val="%5."/>
      <w:lvlJc w:val="left"/>
      <w:pPr>
        <w:tabs>
          <w:tab w:val="num" w:pos="3600"/>
        </w:tabs>
        <w:ind w:left="3600" w:hanging="360"/>
      </w:pPr>
    </w:lvl>
    <w:lvl w:ilvl="5" w:tplc="B63E0DBA" w:tentative="1">
      <w:start w:val="1"/>
      <w:numFmt w:val="lowerRoman"/>
      <w:lvlText w:val="%6."/>
      <w:lvlJc w:val="right"/>
      <w:pPr>
        <w:tabs>
          <w:tab w:val="num" w:pos="4320"/>
        </w:tabs>
        <w:ind w:left="4320" w:hanging="180"/>
      </w:pPr>
    </w:lvl>
    <w:lvl w:ilvl="6" w:tplc="F50A4636" w:tentative="1">
      <w:start w:val="1"/>
      <w:numFmt w:val="decimal"/>
      <w:lvlText w:val="%7."/>
      <w:lvlJc w:val="left"/>
      <w:pPr>
        <w:tabs>
          <w:tab w:val="num" w:pos="5040"/>
        </w:tabs>
        <w:ind w:left="5040" w:hanging="360"/>
      </w:pPr>
    </w:lvl>
    <w:lvl w:ilvl="7" w:tplc="13BA47CE" w:tentative="1">
      <w:start w:val="1"/>
      <w:numFmt w:val="lowerLetter"/>
      <w:lvlText w:val="%8."/>
      <w:lvlJc w:val="left"/>
      <w:pPr>
        <w:tabs>
          <w:tab w:val="num" w:pos="5760"/>
        </w:tabs>
        <w:ind w:left="5760" w:hanging="360"/>
      </w:pPr>
    </w:lvl>
    <w:lvl w:ilvl="8" w:tplc="F9AA98DC" w:tentative="1">
      <w:start w:val="1"/>
      <w:numFmt w:val="lowerRoman"/>
      <w:lvlText w:val="%9."/>
      <w:lvlJc w:val="right"/>
      <w:pPr>
        <w:tabs>
          <w:tab w:val="num" w:pos="6480"/>
        </w:tabs>
        <w:ind w:left="6480" w:hanging="180"/>
      </w:pPr>
    </w:lvl>
  </w:abstractNum>
  <w:abstractNum w:abstractNumId="7">
    <w:nsid w:val="20B33398"/>
    <w:multiLevelType w:val="hybridMultilevel"/>
    <w:tmpl w:val="35AEC21C"/>
    <w:lvl w:ilvl="0" w:tplc="BD8C3E34">
      <w:start w:val="1"/>
      <w:numFmt w:val="lowerRoman"/>
      <w:lvlText w:val="(%1)"/>
      <w:lvlJc w:val="left"/>
      <w:pPr>
        <w:tabs>
          <w:tab w:val="num" w:pos="1440"/>
        </w:tabs>
        <w:ind w:left="1440" w:hanging="720"/>
      </w:pPr>
      <w:rPr>
        <w:rFonts w:hint="default"/>
      </w:rPr>
    </w:lvl>
    <w:lvl w:ilvl="1" w:tplc="C7ACAA4E" w:tentative="1">
      <w:start w:val="1"/>
      <w:numFmt w:val="lowerLetter"/>
      <w:lvlText w:val="%2."/>
      <w:lvlJc w:val="left"/>
      <w:pPr>
        <w:tabs>
          <w:tab w:val="num" w:pos="1800"/>
        </w:tabs>
        <w:ind w:left="1800" w:hanging="360"/>
      </w:pPr>
    </w:lvl>
    <w:lvl w:ilvl="2" w:tplc="12105A74" w:tentative="1">
      <w:start w:val="1"/>
      <w:numFmt w:val="lowerRoman"/>
      <w:lvlText w:val="%3."/>
      <w:lvlJc w:val="right"/>
      <w:pPr>
        <w:tabs>
          <w:tab w:val="num" w:pos="2520"/>
        </w:tabs>
        <w:ind w:left="2520" w:hanging="180"/>
      </w:pPr>
    </w:lvl>
    <w:lvl w:ilvl="3" w:tplc="A8288DB2" w:tentative="1">
      <w:start w:val="1"/>
      <w:numFmt w:val="decimal"/>
      <w:lvlText w:val="%4."/>
      <w:lvlJc w:val="left"/>
      <w:pPr>
        <w:tabs>
          <w:tab w:val="num" w:pos="3240"/>
        </w:tabs>
        <w:ind w:left="3240" w:hanging="360"/>
      </w:pPr>
    </w:lvl>
    <w:lvl w:ilvl="4" w:tplc="49C22F74" w:tentative="1">
      <w:start w:val="1"/>
      <w:numFmt w:val="lowerLetter"/>
      <w:lvlText w:val="%5."/>
      <w:lvlJc w:val="left"/>
      <w:pPr>
        <w:tabs>
          <w:tab w:val="num" w:pos="3960"/>
        </w:tabs>
        <w:ind w:left="3960" w:hanging="360"/>
      </w:pPr>
    </w:lvl>
    <w:lvl w:ilvl="5" w:tplc="BCA0E20E" w:tentative="1">
      <w:start w:val="1"/>
      <w:numFmt w:val="lowerRoman"/>
      <w:lvlText w:val="%6."/>
      <w:lvlJc w:val="right"/>
      <w:pPr>
        <w:tabs>
          <w:tab w:val="num" w:pos="4680"/>
        </w:tabs>
        <w:ind w:left="4680" w:hanging="180"/>
      </w:pPr>
    </w:lvl>
    <w:lvl w:ilvl="6" w:tplc="DAEAF082" w:tentative="1">
      <w:start w:val="1"/>
      <w:numFmt w:val="decimal"/>
      <w:lvlText w:val="%7."/>
      <w:lvlJc w:val="left"/>
      <w:pPr>
        <w:tabs>
          <w:tab w:val="num" w:pos="5400"/>
        </w:tabs>
        <w:ind w:left="5400" w:hanging="360"/>
      </w:pPr>
    </w:lvl>
    <w:lvl w:ilvl="7" w:tplc="70469DEA" w:tentative="1">
      <w:start w:val="1"/>
      <w:numFmt w:val="lowerLetter"/>
      <w:lvlText w:val="%8."/>
      <w:lvlJc w:val="left"/>
      <w:pPr>
        <w:tabs>
          <w:tab w:val="num" w:pos="6120"/>
        </w:tabs>
        <w:ind w:left="6120" w:hanging="360"/>
      </w:pPr>
    </w:lvl>
    <w:lvl w:ilvl="8" w:tplc="9DDA4A44" w:tentative="1">
      <w:start w:val="1"/>
      <w:numFmt w:val="lowerRoman"/>
      <w:lvlText w:val="%9."/>
      <w:lvlJc w:val="right"/>
      <w:pPr>
        <w:tabs>
          <w:tab w:val="num" w:pos="6840"/>
        </w:tabs>
        <w:ind w:left="6840" w:hanging="180"/>
      </w:pPr>
    </w:lvl>
  </w:abstractNum>
  <w:abstractNum w:abstractNumId="8">
    <w:nsid w:val="21137BF1"/>
    <w:multiLevelType w:val="hybridMultilevel"/>
    <w:tmpl w:val="1488EBB6"/>
    <w:lvl w:ilvl="0" w:tplc="9E18854A">
      <w:start w:val="1"/>
      <w:numFmt w:val="lowerRoman"/>
      <w:lvlText w:val="(%1)"/>
      <w:lvlJc w:val="left"/>
      <w:pPr>
        <w:tabs>
          <w:tab w:val="num" w:pos="1440"/>
        </w:tabs>
        <w:ind w:left="1440" w:hanging="720"/>
      </w:pPr>
      <w:rPr>
        <w:rFonts w:hint="default"/>
      </w:rPr>
    </w:lvl>
    <w:lvl w:ilvl="1" w:tplc="D58E5A46" w:tentative="1">
      <w:start w:val="1"/>
      <w:numFmt w:val="lowerLetter"/>
      <w:lvlText w:val="%2."/>
      <w:lvlJc w:val="left"/>
      <w:pPr>
        <w:tabs>
          <w:tab w:val="num" w:pos="1800"/>
        </w:tabs>
        <w:ind w:left="1800" w:hanging="360"/>
      </w:pPr>
    </w:lvl>
    <w:lvl w:ilvl="2" w:tplc="8848B9B0" w:tentative="1">
      <w:start w:val="1"/>
      <w:numFmt w:val="lowerRoman"/>
      <w:lvlText w:val="%3."/>
      <w:lvlJc w:val="right"/>
      <w:pPr>
        <w:tabs>
          <w:tab w:val="num" w:pos="2520"/>
        </w:tabs>
        <w:ind w:left="2520" w:hanging="180"/>
      </w:pPr>
    </w:lvl>
    <w:lvl w:ilvl="3" w:tplc="08B66828" w:tentative="1">
      <w:start w:val="1"/>
      <w:numFmt w:val="decimal"/>
      <w:lvlText w:val="%4."/>
      <w:lvlJc w:val="left"/>
      <w:pPr>
        <w:tabs>
          <w:tab w:val="num" w:pos="3240"/>
        </w:tabs>
        <w:ind w:left="3240" w:hanging="360"/>
      </w:pPr>
    </w:lvl>
    <w:lvl w:ilvl="4" w:tplc="24506930" w:tentative="1">
      <w:start w:val="1"/>
      <w:numFmt w:val="lowerLetter"/>
      <w:lvlText w:val="%5."/>
      <w:lvlJc w:val="left"/>
      <w:pPr>
        <w:tabs>
          <w:tab w:val="num" w:pos="3960"/>
        </w:tabs>
        <w:ind w:left="3960" w:hanging="360"/>
      </w:pPr>
    </w:lvl>
    <w:lvl w:ilvl="5" w:tplc="EDC06894" w:tentative="1">
      <w:start w:val="1"/>
      <w:numFmt w:val="lowerRoman"/>
      <w:lvlText w:val="%6."/>
      <w:lvlJc w:val="right"/>
      <w:pPr>
        <w:tabs>
          <w:tab w:val="num" w:pos="4680"/>
        </w:tabs>
        <w:ind w:left="4680" w:hanging="180"/>
      </w:pPr>
    </w:lvl>
    <w:lvl w:ilvl="6" w:tplc="5F3C0A9A" w:tentative="1">
      <w:start w:val="1"/>
      <w:numFmt w:val="decimal"/>
      <w:lvlText w:val="%7."/>
      <w:lvlJc w:val="left"/>
      <w:pPr>
        <w:tabs>
          <w:tab w:val="num" w:pos="5400"/>
        </w:tabs>
        <w:ind w:left="5400" w:hanging="360"/>
      </w:pPr>
    </w:lvl>
    <w:lvl w:ilvl="7" w:tplc="03E248F4" w:tentative="1">
      <w:start w:val="1"/>
      <w:numFmt w:val="lowerLetter"/>
      <w:lvlText w:val="%8."/>
      <w:lvlJc w:val="left"/>
      <w:pPr>
        <w:tabs>
          <w:tab w:val="num" w:pos="6120"/>
        </w:tabs>
        <w:ind w:left="6120" w:hanging="360"/>
      </w:pPr>
    </w:lvl>
    <w:lvl w:ilvl="8" w:tplc="230E1722" w:tentative="1">
      <w:start w:val="1"/>
      <w:numFmt w:val="lowerRoman"/>
      <w:lvlText w:val="%9."/>
      <w:lvlJc w:val="right"/>
      <w:pPr>
        <w:tabs>
          <w:tab w:val="num" w:pos="6840"/>
        </w:tabs>
        <w:ind w:left="6840" w:hanging="180"/>
      </w:pPr>
    </w:lvl>
  </w:abstractNum>
  <w:abstractNum w:abstractNumId="9">
    <w:nsid w:val="25420EAB"/>
    <w:multiLevelType w:val="multilevel"/>
    <w:tmpl w:val="C3005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nsid w:val="2CBF5B4A"/>
    <w:multiLevelType w:val="hybridMultilevel"/>
    <w:tmpl w:val="26027A3A"/>
    <w:lvl w:ilvl="0" w:tplc="BBE00C5A">
      <w:start w:val="1"/>
      <w:numFmt w:val="lowerLetter"/>
      <w:lvlText w:val="(%1)"/>
      <w:lvlJc w:val="left"/>
      <w:pPr>
        <w:tabs>
          <w:tab w:val="num" w:pos="1440"/>
        </w:tabs>
        <w:ind w:left="1440" w:hanging="720"/>
      </w:pPr>
      <w:rPr>
        <w:rFonts w:hint="default"/>
      </w:rPr>
    </w:lvl>
    <w:lvl w:ilvl="1" w:tplc="18386D50" w:tentative="1">
      <w:start w:val="1"/>
      <w:numFmt w:val="lowerLetter"/>
      <w:lvlText w:val="%2."/>
      <w:lvlJc w:val="left"/>
      <w:pPr>
        <w:tabs>
          <w:tab w:val="num" w:pos="1800"/>
        </w:tabs>
        <w:ind w:left="1800" w:hanging="360"/>
      </w:pPr>
    </w:lvl>
    <w:lvl w:ilvl="2" w:tplc="027CB0B8" w:tentative="1">
      <w:start w:val="1"/>
      <w:numFmt w:val="lowerRoman"/>
      <w:lvlText w:val="%3."/>
      <w:lvlJc w:val="right"/>
      <w:pPr>
        <w:tabs>
          <w:tab w:val="num" w:pos="2520"/>
        </w:tabs>
        <w:ind w:left="2520" w:hanging="180"/>
      </w:pPr>
    </w:lvl>
    <w:lvl w:ilvl="3" w:tplc="F5566752" w:tentative="1">
      <w:start w:val="1"/>
      <w:numFmt w:val="decimal"/>
      <w:lvlText w:val="%4."/>
      <w:lvlJc w:val="left"/>
      <w:pPr>
        <w:tabs>
          <w:tab w:val="num" w:pos="3240"/>
        </w:tabs>
        <w:ind w:left="3240" w:hanging="360"/>
      </w:pPr>
    </w:lvl>
    <w:lvl w:ilvl="4" w:tplc="23106F1E" w:tentative="1">
      <w:start w:val="1"/>
      <w:numFmt w:val="lowerLetter"/>
      <w:lvlText w:val="%5."/>
      <w:lvlJc w:val="left"/>
      <w:pPr>
        <w:tabs>
          <w:tab w:val="num" w:pos="3960"/>
        </w:tabs>
        <w:ind w:left="3960" w:hanging="360"/>
      </w:pPr>
    </w:lvl>
    <w:lvl w:ilvl="5" w:tplc="47109E9E" w:tentative="1">
      <w:start w:val="1"/>
      <w:numFmt w:val="lowerRoman"/>
      <w:lvlText w:val="%6."/>
      <w:lvlJc w:val="right"/>
      <w:pPr>
        <w:tabs>
          <w:tab w:val="num" w:pos="4680"/>
        </w:tabs>
        <w:ind w:left="4680" w:hanging="180"/>
      </w:pPr>
    </w:lvl>
    <w:lvl w:ilvl="6" w:tplc="797C24C8" w:tentative="1">
      <w:start w:val="1"/>
      <w:numFmt w:val="decimal"/>
      <w:lvlText w:val="%7."/>
      <w:lvlJc w:val="left"/>
      <w:pPr>
        <w:tabs>
          <w:tab w:val="num" w:pos="5400"/>
        </w:tabs>
        <w:ind w:left="5400" w:hanging="360"/>
      </w:pPr>
    </w:lvl>
    <w:lvl w:ilvl="7" w:tplc="6BDC5B16" w:tentative="1">
      <w:start w:val="1"/>
      <w:numFmt w:val="lowerLetter"/>
      <w:lvlText w:val="%8."/>
      <w:lvlJc w:val="left"/>
      <w:pPr>
        <w:tabs>
          <w:tab w:val="num" w:pos="6120"/>
        </w:tabs>
        <w:ind w:left="6120" w:hanging="360"/>
      </w:pPr>
    </w:lvl>
    <w:lvl w:ilvl="8" w:tplc="AF6C6488" w:tentative="1">
      <w:start w:val="1"/>
      <w:numFmt w:val="lowerRoman"/>
      <w:lvlText w:val="%9."/>
      <w:lvlJc w:val="right"/>
      <w:pPr>
        <w:tabs>
          <w:tab w:val="num" w:pos="6840"/>
        </w:tabs>
        <w:ind w:left="6840" w:hanging="180"/>
      </w:pPr>
    </w:lvl>
  </w:abstractNum>
  <w:abstractNum w:abstractNumId="11">
    <w:nsid w:val="2D9E5040"/>
    <w:multiLevelType w:val="hybridMultilevel"/>
    <w:tmpl w:val="C0DA0ED6"/>
    <w:lvl w:ilvl="0" w:tplc="ABC087A8">
      <w:start w:val="1"/>
      <w:numFmt w:val="lowerLetter"/>
      <w:lvlText w:val="(%1)"/>
      <w:lvlJc w:val="left"/>
      <w:pPr>
        <w:tabs>
          <w:tab w:val="num" w:pos="1440"/>
        </w:tabs>
        <w:ind w:left="1440" w:hanging="720"/>
      </w:pPr>
      <w:rPr>
        <w:rFonts w:hint="default"/>
      </w:rPr>
    </w:lvl>
    <w:lvl w:ilvl="1" w:tplc="B07ABFA0" w:tentative="1">
      <w:start w:val="1"/>
      <w:numFmt w:val="lowerLetter"/>
      <w:lvlText w:val="%2."/>
      <w:lvlJc w:val="left"/>
      <w:pPr>
        <w:tabs>
          <w:tab w:val="num" w:pos="1800"/>
        </w:tabs>
        <w:ind w:left="1800" w:hanging="360"/>
      </w:pPr>
    </w:lvl>
    <w:lvl w:ilvl="2" w:tplc="10920794" w:tentative="1">
      <w:start w:val="1"/>
      <w:numFmt w:val="lowerRoman"/>
      <w:lvlText w:val="%3."/>
      <w:lvlJc w:val="right"/>
      <w:pPr>
        <w:tabs>
          <w:tab w:val="num" w:pos="2520"/>
        </w:tabs>
        <w:ind w:left="2520" w:hanging="180"/>
      </w:pPr>
    </w:lvl>
    <w:lvl w:ilvl="3" w:tplc="29806366" w:tentative="1">
      <w:start w:val="1"/>
      <w:numFmt w:val="decimal"/>
      <w:lvlText w:val="%4."/>
      <w:lvlJc w:val="left"/>
      <w:pPr>
        <w:tabs>
          <w:tab w:val="num" w:pos="3240"/>
        </w:tabs>
        <w:ind w:left="3240" w:hanging="360"/>
      </w:pPr>
    </w:lvl>
    <w:lvl w:ilvl="4" w:tplc="BE16CBD8" w:tentative="1">
      <w:start w:val="1"/>
      <w:numFmt w:val="lowerLetter"/>
      <w:lvlText w:val="%5."/>
      <w:lvlJc w:val="left"/>
      <w:pPr>
        <w:tabs>
          <w:tab w:val="num" w:pos="3960"/>
        </w:tabs>
        <w:ind w:left="3960" w:hanging="360"/>
      </w:pPr>
    </w:lvl>
    <w:lvl w:ilvl="5" w:tplc="A7F25F32" w:tentative="1">
      <w:start w:val="1"/>
      <w:numFmt w:val="lowerRoman"/>
      <w:lvlText w:val="%6."/>
      <w:lvlJc w:val="right"/>
      <w:pPr>
        <w:tabs>
          <w:tab w:val="num" w:pos="4680"/>
        </w:tabs>
        <w:ind w:left="4680" w:hanging="180"/>
      </w:pPr>
    </w:lvl>
    <w:lvl w:ilvl="6" w:tplc="61D0DB8A" w:tentative="1">
      <w:start w:val="1"/>
      <w:numFmt w:val="decimal"/>
      <w:lvlText w:val="%7."/>
      <w:lvlJc w:val="left"/>
      <w:pPr>
        <w:tabs>
          <w:tab w:val="num" w:pos="5400"/>
        </w:tabs>
        <w:ind w:left="5400" w:hanging="360"/>
      </w:pPr>
    </w:lvl>
    <w:lvl w:ilvl="7" w:tplc="D10C3630" w:tentative="1">
      <w:start w:val="1"/>
      <w:numFmt w:val="lowerLetter"/>
      <w:lvlText w:val="%8."/>
      <w:lvlJc w:val="left"/>
      <w:pPr>
        <w:tabs>
          <w:tab w:val="num" w:pos="6120"/>
        </w:tabs>
        <w:ind w:left="6120" w:hanging="360"/>
      </w:pPr>
    </w:lvl>
    <w:lvl w:ilvl="8" w:tplc="40A2FDFE" w:tentative="1">
      <w:start w:val="1"/>
      <w:numFmt w:val="lowerRoman"/>
      <w:lvlText w:val="%9."/>
      <w:lvlJc w:val="right"/>
      <w:pPr>
        <w:tabs>
          <w:tab w:val="num" w:pos="6840"/>
        </w:tabs>
        <w:ind w:left="6840" w:hanging="180"/>
      </w:pPr>
    </w:lvl>
  </w:abstractNum>
  <w:abstractNum w:abstractNumId="12">
    <w:nsid w:val="2F237D51"/>
    <w:multiLevelType w:val="hybridMultilevel"/>
    <w:tmpl w:val="AD10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6425B"/>
    <w:multiLevelType w:val="hybridMultilevel"/>
    <w:tmpl w:val="1FF2D95C"/>
    <w:lvl w:ilvl="0" w:tplc="9A5EA112">
      <w:start w:val="1"/>
      <w:numFmt w:val="lowerLetter"/>
      <w:lvlText w:val="%1)"/>
      <w:lvlJc w:val="left"/>
      <w:pPr>
        <w:tabs>
          <w:tab w:val="num" w:pos="1080"/>
        </w:tabs>
        <w:ind w:left="1080" w:hanging="360"/>
      </w:pPr>
      <w:rPr>
        <w:rFonts w:hint="default"/>
      </w:rPr>
    </w:lvl>
    <w:lvl w:ilvl="1" w:tplc="B6684480" w:tentative="1">
      <w:start w:val="1"/>
      <w:numFmt w:val="lowerLetter"/>
      <w:lvlText w:val="%2."/>
      <w:lvlJc w:val="left"/>
      <w:pPr>
        <w:tabs>
          <w:tab w:val="num" w:pos="1800"/>
        </w:tabs>
        <w:ind w:left="1800" w:hanging="360"/>
      </w:pPr>
    </w:lvl>
    <w:lvl w:ilvl="2" w:tplc="34340562" w:tentative="1">
      <w:start w:val="1"/>
      <w:numFmt w:val="lowerRoman"/>
      <w:lvlText w:val="%3."/>
      <w:lvlJc w:val="right"/>
      <w:pPr>
        <w:tabs>
          <w:tab w:val="num" w:pos="2520"/>
        </w:tabs>
        <w:ind w:left="2520" w:hanging="180"/>
      </w:pPr>
    </w:lvl>
    <w:lvl w:ilvl="3" w:tplc="F56E110E" w:tentative="1">
      <w:start w:val="1"/>
      <w:numFmt w:val="decimal"/>
      <w:lvlText w:val="%4."/>
      <w:lvlJc w:val="left"/>
      <w:pPr>
        <w:tabs>
          <w:tab w:val="num" w:pos="3240"/>
        </w:tabs>
        <w:ind w:left="3240" w:hanging="360"/>
      </w:pPr>
    </w:lvl>
    <w:lvl w:ilvl="4" w:tplc="8466B1EE" w:tentative="1">
      <w:start w:val="1"/>
      <w:numFmt w:val="lowerLetter"/>
      <w:lvlText w:val="%5."/>
      <w:lvlJc w:val="left"/>
      <w:pPr>
        <w:tabs>
          <w:tab w:val="num" w:pos="3960"/>
        </w:tabs>
        <w:ind w:left="3960" w:hanging="360"/>
      </w:pPr>
    </w:lvl>
    <w:lvl w:ilvl="5" w:tplc="880EF6D6" w:tentative="1">
      <w:start w:val="1"/>
      <w:numFmt w:val="lowerRoman"/>
      <w:lvlText w:val="%6."/>
      <w:lvlJc w:val="right"/>
      <w:pPr>
        <w:tabs>
          <w:tab w:val="num" w:pos="4680"/>
        </w:tabs>
        <w:ind w:left="4680" w:hanging="180"/>
      </w:pPr>
    </w:lvl>
    <w:lvl w:ilvl="6" w:tplc="2A5A0D96" w:tentative="1">
      <w:start w:val="1"/>
      <w:numFmt w:val="decimal"/>
      <w:lvlText w:val="%7."/>
      <w:lvlJc w:val="left"/>
      <w:pPr>
        <w:tabs>
          <w:tab w:val="num" w:pos="5400"/>
        </w:tabs>
        <w:ind w:left="5400" w:hanging="360"/>
      </w:pPr>
    </w:lvl>
    <w:lvl w:ilvl="7" w:tplc="B262FA80" w:tentative="1">
      <w:start w:val="1"/>
      <w:numFmt w:val="lowerLetter"/>
      <w:lvlText w:val="%8."/>
      <w:lvlJc w:val="left"/>
      <w:pPr>
        <w:tabs>
          <w:tab w:val="num" w:pos="6120"/>
        </w:tabs>
        <w:ind w:left="6120" w:hanging="360"/>
      </w:pPr>
    </w:lvl>
    <w:lvl w:ilvl="8" w:tplc="BBDA1DBA" w:tentative="1">
      <w:start w:val="1"/>
      <w:numFmt w:val="lowerRoman"/>
      <w:lvlText w:val="%9."/>
      <w:lvlJc w:val="right"/>
      <w:pPr>
        <w:tabs>
          <w:tab w:val="num" w:pos="6840"/>
        </w:tabs>
        <w:ind w:left="6840" w:hanging="180"/>
      </w:pPr>
    </w:lvl>
  </w:abstractNum>
  <w:abstractNum w:abstractNumId="14">
    <w:nsid w:val="323018BE"/>
    <w:multiLevelType w:val="hybridMultilevel"/>
    <w:tmpl w:val="4680EF90"/>
    <w:lvl w:ilvl="0" w:tplc="1C181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E90DF7"/>
    <w:multiLevelType w:val="hybridMultilevel"/>
    <w:tmpl w:val="93C224CE"/>
    <w:lvl w:ilvl="0" w:tplc="701433EA">
      <w:start w:val="1"/>
      <w:numFmt w:val="lowerLetter"/>
      <w:lvlText w:val="(%1)"/>
      <w:lvlJc w:val="left"/>
      <w:pPr>
        <w:tabs>
          <w:tab w:val="num" w:pos="1440"/>
        </w:tabs>
        <w:ind w:left="1440" w:hanging="720"/>
      </w:pPr>
      <w:rPr>
        <w:rFonts w:hint="default"/>
      </w:rPr>
    </w:lvl>
    <w:lvl w:ilvl="1" w:tplc="267E002A" w:tentative="1">
      <w:start w:val="1"/>
      <w:numFmt w:val="lowerLetter"/>
      <w:lvlText w:val="%2."/>
      <w:lvlJc w:val="left"/>
      <w:pPr>
        <w:tabs>
          <w:tab w:val="num" w:pos="1800"/>
        </w:tabs>
        <w:ind w:left="1800" w:hanging="360"/>
      </w:pPr>
    </w:lvl>
    <w:lvl w:ilvl="2" w:tplc="C186A6B2" w:tentative="1">
      <w:start w:val="1"/>
      <w:numFmt w:val="lowerRoman"/>
      <w:lvlText w:val="%3."/>
      <w:lvlJc w:val="right"/>
      <w:pPr>
        <w:tabs>
          <w:tab w:val="num" w:pos="2520"/>
        </w:tabs>
        <w:ind w:left="2520" w:hanging="180"/>
      </w:pPr>
    </w:lvl>
    <w:lvl w:ilvl="3" w:tplc="982C67DE" w:tentative="1">
      <w:start w:val="1"/>
      <w:numFmt w:val="decimal"/>
      <w:lvlText w:val="%4."/>
      <w:lvlJc w:val="left"/>
      <w:pPr>
        <w:tabs>
          <w:tab w:val="num" w:pos="3240"/>
        </w:tabs>
        <w:ind w:left="3240" w:hanging="360"/>
      </w:pPr>
    </w:lvl>
    <w:lvl w:ilvl="4" w:tplc="29F63D34" w:tentative="1">
      <w:start w:val="1"/>
      <w:numFmt w:val="lowerLetter"/>
      <w:lvlText w:val="%5."/>
      <w:lvlJc w:val="left"/>
      <w:pPr>
        <w:tabs>
          <w:tab w:val="num" w:pos="3960"/>
        </w:tabs>
        <w:ind w:left="3960" w:hanging="360"/>
      </w:pPr>
    </w:lvl>
    <w:lvl w:ilvl="5" w:tplc="6F267E0E" w:tentative="1">
      <w:start w:val="1"/>
      <w:numFmt w:val="lowerRoman"/>
      <w:lvlText w:val="%6."/>
      <w:lvlJc w:val="right"/>
      <w:pPr>
        <w:tabs>
          <w:tab w:val="num" w:pos="4680"/>
        </w:tabs>
        <w:ind w:left="4680" w:hanging="180"/>
      </w:pPr>
    </w:lvl>
    <w:lvl w:ilvl="6" w:tplc="55C27E62" w:tentative="1">
      <w:start w:val="1"/>
      <w:numFmt w:val="decimal"/>
      <w:lvlText w:val="%7."/>
      <w:lvlJc w:val="left"/>
      <w:pPr>
        <w:tabs>
          <w:tab w:val="num" w:pos="5400"/>
        </w:tabs>
        <w:ind w:left="5400" w:hanging="360"/>
      </w:pPr>
    </w:lvl>
    <w:lvl w:ilvl="7" w:tplc="1390C276" w:tentative="1">
      <w:start w:val="1"/>
      <w:numFmt w:val="lowerLetter"/>
      <w:lvlText w:val="%8."/>
      <w:lvlJc w:val="left"/>
      <w:pPr>
        <w:tabs>
          <w:tab w:val="num" w:pos="6120"/>
        </w:tabs>
        <w:ind w:left="6120" w:hanging="360"/>
      </w:pPr>
    </w:lvl>
    <w:lvl w:ilvl="8" w:tplc="D98674DE" w:tentative="1">
      <w:start w:val="1"/>
      <w:numFmt w:val="lowerRoman"/>
      <w:lvlText w:val="%9."/>
      <w:lvlJc w:val="right"/>
      <w:pPr>
        <w:tabs>
          <w:tab w:val="num" w:pos="6840"/>
        </w:tabs>
        <w:ind w:left="6840" w:hanging="180"/>
      </w:pPr>
    </w:lvl>
  </w:abstractNum>
  <w:abstractNum w:abstractNumId="16">
    <w:nsid w:val="44EE33A7"/>
    <w:multiLevelType w:val="hybridMultilevel"/>
    <w:tmpl w:val="0B8A2004"/>
    <w:lvl w:ilvl="0" w:tplc="6F4E815C">
      <w:start w:val="3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A76728"/>
    <w:multiLevelType w:val="hybridMultilevel"/>
    <w:tmpl w:val="36829858"/>
    <w:lvl w:ilvl="0" w:tplc="07E8CE3E">
      <w:start w:val="1"/>
      <w:numFmt w:val="lowerLetter"/>
      <w:lvlText w:val="(%1)"/>
      <w:lvlJc w:val="left"/>
      <w:pPr>
        <w:tabs>
          <w:tab w:val="num" w:pos="1080"/>
        </w:tabs>
        <w:ind w:left="1080" w:hanging="360"/>
      </w:pPr>
      <w:rPr>
        <w:rFonts w:hint="default"/>
      </w:rPr>
    </w:lvl>
    <w:lvl w:ilvl="1" w:tplc="D2A4789C" w:tentative="1">
      <w:start w:val="1"/>
      <w:numFmt w:val="lowerLetter"/>
      <w:lvlText w:val="%2."/>
      <w:lvlJc w:val="left"/>
      <w:pPr>
        <w:tabs>
          <w:tab w:val="num" w:pos="1800"/>
        </w:tabs>
        <w:ind w:left="1800" w:hanging="360"/>
      </w:pPr>
    </w:lvl>
    <w:lvl w:ilvl="2" w:tplc="866ECA1C" w:tentative="1">
      <w:start w:val="1"/>
      <w:numFmt w:val="lowerRoman"/>
      <w:lvlText w:val="%3."/>
      <w:lvlJc w:val="right"/>
      <w:pPr>
        <w:tabs>
          <w:tab w:val="num" w:pos="2520"/>
        </w:tabs>
        <w:ind w:left="2520" w:hanging="180"/>
      </w:pPr>
    </w:lvl>
    <w:lvl w:ilvl="3" w:tplc="41EEC180" w:tentative="1">
      <w:start w:val="1"/>
      <w:numFmt w:val="decimal"/>
      <w:lvlText w:val="%4."/>
      <w:lvlJc w:val="left"/>
      <w:pPr>
        <w:tabs>
          <w:tab w:val="num" w:pos="3240"/>
        </w:tabs>
        <w:ind w:left="3240" w:hanging="360"/>
      </w:pPr>
    </w:lvl>
    <w:lvl w:ilvl="4" w:tplc="F3EC33E4" w:tentative="1">
      <w:start w:val="1"/>
      <w:numFmt w:val="lowerLetter"/>
      <w:lvlText w:val="%5."/>
      <w:lvlJc w:val="left"/>
      <w:pPr>
        <w:tabs>
          <w:tab w:val="num" w:pos="3960"/>
        </w:tabs>
        <w:ind w:left="3960" w:hanging="360"/>
      </w:pPr>
    </w:lvl>
    <w:lvl w:ilvl="5" w:tplc="177EC342" w:tentative="1">
      <w:start w:val="1"/>
      <w:numFmt w:val="lowerRoman"/>
      <w:lvlText w:val="%6."/>
      <w:lvlJc w:val="right"/>
      <w:pPr>
        <w:tabs>
          <w:tab w:val="num" w:pos="4680"/>
        </w:tabs>
        <w:ind w:left="4680" w:hanging="180"/>
      </w:pPr>
    </w:lvl>
    <w:lvl w:ilvl="6" w:tplc="39945964" w:tentative="1">
      <w:start w:val="1"/>
      <w:numFmt w:val="decimal"/>
      <w:lvlText w:val="%7."/>
      <w:lvlJc w:val="left"/>
      <w:pPr>
        <w:tabs>
          <w:tab w:val="num" w:pos="5400"/>
        </w:tabs>
        <w:ind w:left="5400" w:hanging="360"/>
      </w:pPr>
    </w:lvl>
    <w:lvl w:ilvl="7" w:tplc="BB32E2C8" w:tentative="1">
      <w:start w:val="1"/>
      <w:numFmt w:val="lowerLetter"/>
      <w:lvlText w:val="%8."/>
      <w:lvlJc w:val="left"/>
      <w:pPr>
        <w:tabs>
          <w:tab w:val="num" w:pos="6120"/>
        </w:tabs>
        <w:ind w:left="6120" w:hanging="360"/>
      </w:pPr>
    </w:lvl>
    <w:lvl w:ilvl="8" w:tplc="A7CE206E" w:tentative="1">
      <w:start w:val="1"/>
      <w:numFmt w:val="lowerRoman"/>
      <w:lvlText w:val="%9."/>
      <w:lvlJc w:val="right"/>
      <w:pPr>
        <w:tabs>
          <w:tab w:val="num" w:pos="6840"/>
        </w:tabs>
        <w:ind w:left="6840" w:hanging="180"/>
      </w:pPr>
    </w:lvl>
  </w:abstractNum>
  <w:abstractNum w:abstractNumId="18">
    <w:nsid w:val="4EEA3961"/>
    <w:multiLevelType w:val="hybridMultilevel"/>
    <w:tmpl w:val="53568642"/>
    <w:lvl w:ilvl="0" w:tplc="4CCA376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9">
    <w:nsid w:val="54C426E0"/>
    <w:multiLevelType w:val="hybridMultilevel"/>
    <w:tmpl w:val="1EB43628"/>
    <w:lvl w:ilvl="0" w:tplc="0754639E">
      <w:start w:val="1"/>
      <w:numFmt w:val="lowerLetter"/>
      <w:lvlText w:val="(%1)"/>
      <w:lvlJc w:val="left"/>
      <w:pPr>
        <w:tabs>
          <w:tab w:val="num" w:pos="1080"/>
        </w:tabs>
        <w:ind w:left="1080" w:hanging="360"/>
      </w:pPr>
      <w:rPr>
        <w:rFonts w:hint="default"/>
      </w:rPr>
    </w:lvl>
    <w:lvl w:ilvl="1" w:tplc="3D0689C2" w:tentative="1">
      <w:start w:val="1"/>
      <w:numFmt w:val="lowerLetter"/>
      <w:lvlText w:val="%2."/>
      <w:lvlJc w:val="left"/>
      <w:pPr>
        <w:tabs>
          <w:tab w:val="num" w:pos="1800"/>
        </w:tabs>
        <w:ind w:left="1800" w:hanging="360"/>
      </w:pPr>
    </w:lvl>
    <w:lvl w:ilvl="2" w:tplc="70F4E266" w:tentative="1">
      <w:start w:val="1"/>
      <w:numFmt w:val="lowerRoman"/>
      <w:lvlText w:val="%3."/>
      <w:lvlJc w:val="right"/>
      <w:pPr>
        <w:tabs>
          <w:tab w:val="num" w:pos="2520"/>
        </w:tabs>
        <w:ind w:left="2520" w:hanging="180"/>
      </w:pPr>
    </w:lvl>
    <w:lvl w:ilvl="3" w:tplc="E8361B82" w:tentative="1">
      <w:start w:val="1"/>
      <w:numFmt w:val="decimal"/>
      <w:lvlText w:val="%4."/>
      <w:lvlJc w:val="left"/>
      <w:pPr>
        <w:tabs>
          <w:tab w:val="num" w:pos="3240"/>
        </w:tabs>
        <w:ind w:left="3240" w:hanging="360"/>
      </w:pPr>
    </w:lvl>
    <w:lvl w:ilvl="4" w:tplc="A7363784" w:tentative="1">
      <w:start w:val="1"/>
      <w:numFmt w:val="lowerLetter"/>
      <w:lvlText w:val="%5."/>
      <w:lvlJc w:val="left"/>
      <w:pPr>
        <w:tabs>
          <w:tab w:val="num" w:pos="3960"/>
        </w:tabs>
        <w:ind w:left="3960" w:hanging="360"/>
      </w:pPr>
    </w:lvl>
    <w:lvl w:ilvl="5" w:tplc="52ECA418" w:tentative="1">
      <w:start w:val="1"/>
      <w:numFmt w:val="lowerRoman"/>
      <w:lvlText w:val="%6."/>
      <w:lvlJc w:val="right"/>
      <w:pPr>
        <w:tabs>
          <w:tab w:val="num" w:pos="4680"/>
        </w:tabs>
        <w:ind w:left="4680" w:hanging="180"/>
      </w:pPr>
    </w:lvl>
    <w:lvl w:ilvl="6" w:tplc="A87E5CD6" w:tentative="1">
      <w:start w:val="1"/>
      <w:numFmt w:val="decimal"/>
      <w:lvlText w:val="%7."/>
      <w:lvlJc w:val="left"/>
      <w:pPr>
        <w:tabs>
          <w:tab w:val="num" w:pos="5400"/>
        </w:tabs>
        <w:ind w:left="5400" w:hanging="360"/>
      </w:pPr>
    </w:lvl>
    <w:lvl w:ilvl="7" w:tplc="DF345626" w:tentative="1">
      <w:start w:val="1"/>
      <w:numFmt w:val="lowerLetter"/>
      <w:lvlText w:val="%8."/>
      <w:lvlJc w:val="left"/>
      <w:pPr>
        <w:tabs>
          <w:tab w:val="num" w:pos="6120"/>
        </w:tabs>
        <w:ind w:left="6120" w:hanging="360"/>
      </w:pPr>
    </w:lvl>
    <w:lvl w:ilvl="8" w:tplc="71E82AD4" w:tentative="1">
      <w:start w:val="1"/>
      <w:numFmt w:val="lowerRoman"/>
      <w:lvlText w:val="%9."/>
      <w:lvlJc w:val="right"/>
      <w:pPr>
        <w:tabs>
          <w:tab w:val="num" w:pos="6840"/>
        </w:tabs>
        <w:ind w:left="6840" w:hanging="180"/>
      </w:pPr>
    </w:lvl>
  </w:abstractNum>
  <w:abstractNum w:abstractNumId="20">
    <w:nsid w:val="595300EE"/>
    <w:multiLevelType w:val="hybridMultilevel"/>
    <w:tmpl w:val="829E6A5C"/>
    <w:lvl w:ilvl="0" w:tplc="74D0F4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822ADB"/>
    <w:multiLevelType w:val="hybridMultilevel"/>
    <w:tmpl w:val="AB6A7EF2"/>
    <w:lvl w:ilvl="0" w:tplc="3B4C42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5F2725"/>
    <w:multiLevelType w:val="hybridMultilevel"/>
    <w:tmpl w:val="BBD8EADA"/>
    <w:lvl w:ilvl="0" w:tplc="255EDD3E">
      <w:start w:val="1"/>
      <w:numFmt w:val="lowerRoman"/>
      <w:lvlText w:val="(%1)"/>
      <w:lvlJc w:val="left"/>
      <w:pPr>
        <w:tabs>
          <w:tab w:val="num" w:pos="1440"/>
        </w:tabs>
        <w:ind w:left="1440" w:hanging="720"/>
      </w:pPr>
      <w:rPr>
        <w:rFonts w:hint="default"/>
      </w:rPr>
    </w:lvl>
    <w:lvl w:ilvl="1" w:tplc="31EA52B4" w:tentative="1">
      <w:start w:val="1"/>
      <w:numFmt w:val="lowerLetter"/>
      <w:lvlText w:val="%2."/>
      <w:lvlJc w:val="left"/>
      <w:pPr>
        <w:tabs>
          <w:tab w:val="num" w:pos="1800"/>
        </w:tabs>
        <w:ind w:left="1800" w:hanging="360"/>
      </w:pPr>
    </w:lvl>
    <w:lvl w:ilvl="2" w:tplc="47A63BF2" w:tentative="1">
      <w:start w:val="1"/>
      <w:numFmt w:val="lowerRoman"/>
      <w:lvlText w:val="%3."/>
      <w:lvlJc w:val="right"/>
      <w:pPr>
        <w:tabs>
          <w:tab w:val="num" w:pos="2520"/>
        </w:tabs>
        <w:ind w:left="2520" w:hanging="180"/>
      </w:pPr>
    </w:lvl>
    <w:lvl w:ilvl="3" w:tplc="0368F2F2" w:tentative="1">
      <w:start w:val="1"/>
      <w:numFmt w:val="decimal"/>
      <w:lvlText w:val="%4."/>
      <w:lvlJc w:val="left"/>
      <w:pPr>
        <w:tabs>
          <w:tab w:val="num" w:pos="3240"/>
        </w:tabs>
        <w:ind w:left="3240" w:hanging="360"/>
      </w:pPr>
    </w:lvl>
    <w:lvl w:ilvl="4" w:tplc="C12A078A" w:tentative="1">
      <w:start w:val="1"/>
      <w:numFmt w:val="lowerLetter"/>
      <w:lvlText w:val="%5."/>
      <w:lvlJc w:val="left"/>
      <w:pPr>
        <w:tabs>
          <w:tab w:val="num" w:pos="3960"/>
        </w:tabs>
        <w:ind w:left="3960" w:hanging="360"/>
      </w:pPr>
    </w:lvl>
    <w:lvl w:ilvl="5" w:tplc="8F701D04" w:tentative="1">
      <w:start w:val="1"/>
      <w:numFmt w:val="lowerRoman"/>
      <w:lvlText w:val="%6."/>
      <w:lvlJc w:val="right"/>
      <w:pPr>
        <w:tabs>
          <w:tab w:val="num" w:pos="4680"/>
        </w:tabs>
        <w:ind w:left="4680" w:hanging="180"/>
      </w:pPr>
    </w:lvl>
    <w:lvl w:ilvl="6" w:tplc="7C0C7880" w:tentative="1">
      <w:start w:val="1"/>
      <w:numFmt w:val="decimal"/>
      <w:lvlText w:val="%7."/>
      <w:lvlJc w:val="left"/>
      <w:pPr>
        <w:tabs>
          <w:tab w:val="num" w:pos="5400"/>
        </w:tabs>
        <w:ind w:left="5400" w:hanging="360"/>
      </w:pPr>
    </w:lvl>
    <w:lvl w:ilvl="7" w:tplc="554242BC" w:tentative="1">
      <w:start w:val="1"/>
      <w:numFmt w:val="lowerLetter"/>
      <w:lvlText w:val="%8."/>
      <w:lvlJc w:val="left"/>
      <w:pPr>
        <w:tabs>
          <w:tab w:val="num" w:pos="6120"/>
        </w:tabs>
        <w:ind w:left="6120" w:hanging="360"/>
      </w:pPr>
    </w:lvl>
    <w:lvl w:ilvl="8" w:tplc="71F43762" w:tentative="1">
      <w:start w:val="1"/>
      <w:numFmt w:val="lowerRoman"/>
      <w:lvlText w:val="%9."/>
      <w:lvlJc w:val="right"/>
      <w:pPr>
        <w:tabs>
          <w:tab w:val="num" w:pos="6840"/>
        </w:tabs>
        <w:ind w:left="6840" w:hanging="180"/>
      </w:pPr>
    </w:lvl>
  </w:abstractNum>
  <w:abstractNum w:abstractNumId="23">
    <w:nsid w:val="5E052425"/>
    <w:multiLevelType w:val="hybridMultilevel"/>
    <w:tmpl w:val="231C6A30"/>
    <w:lvl w:ilvl="0" w:tplc="A9B8982A">
      <w:start w:val="774"/>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2D0A0A"/>
    <w:multiLevelType w:val="hybridMultilevel"/>
    <w:tmpl w:val="79CAB83A"/>
    <w:lvl w:ilvl="0" w:tplc="C6C61356">
      <w:start w:val="1"/>
      <w:numFmt w:val="lowerRoman"/>
      <w:lvlText w:val="(%1)"/>
      <w:lvlJc w:val="left"/>
      <w:pPr>
        <w:tabs>
          <w:tab w:val="num" w:pos="1440"/>
        </w:tabs>
        <w:ind w:left="1440" w:hanging="720"/>
      </w:pPr>
      <w:rPr>
        <w:rFonts w:hint="default"/>
      </w:rPr>
    </w:lvl>
    <w:lvl w:ilvl="1" w:tplc="358EEC08" w:tentative="1">
      <w:start w:val="1"/>
      <w:numFmt w:val="lowerLetter"/>
      <w:lvlText w:val="%2."/>
      <w:lvlJc w:val="left"/>
      <w:pPr>
        <w:tabs>
          <w:tab w:val="num" w:pos="1800"/>
        </w:tabs>
        <w:ind w:left="1800" w:hanging="360"/>
      </w:pPr>
    </w:lvl>
    <w:lvl w:ilvl="2" w:tplc="9EE0A5E0" w:tentative="1">
      <w:start w:val="1"/>
      <w:numFmt w:val="lowerRoman"/>
      <w:lvlText w:val="%3."/>
      <w:lvlJc w:val="right"/>
      <w:pPr>
        <w:tabs>
          <w:tab w:val="num" w:pos="2520"/>
        </w:tabs>
        <w:ind w:left="2520" w:hanging="180"/>
      </w:pPr>
    </w:lvl>
    <w:lvl w:ilvl="3" w:tplc="33826116" w:tentative="1">
      <w:start w:val="1"/>
      <w:numFmt w:val="decimal"/>
      <w:lvlText w:val="%4."/>
      <w:lvlJc w:val="left"/>
      <w:pPr>
        <w:tabs>
          <w:tab w:val="num" w:pos="3240"/>
        </w:tabs>
        <w:ind w:left="3240" w:hanging="360"/>
      </w:pPr>
    </w:lvl>
    <w:lvl w:ilvl="4" w:tplc="2668C1DC" w:tentative="1">
      <w:start w:val="1"/>
      <w:numFmt w:val="lowerLetter"/>
      <w:lvlText w:val="%5."/>
      <w:lvlJc w:val="left"/>
      <w:pPr>
        <w:tabs>
          <w:tab w:val="num" w:pos="3960"/>
        </w:tabs>
        <w:ind w:left="3960" w:hanging="360"/>
      </w:pPr>
    </w:lvl>
    <w:lvl w:ilvl="5" w:tplc="C01EECB8" w:tentative="1">
      <w:start w:val="1"/>
      <w:numFmt w:val="lowerRoman"/>
      <w:lvlText w:val="%6."/>
      <w:lvlJc w:val="right"/>
      <w:pPr>
        <w:tabs>
          <w:tab w:val="num" w:pos="4680"/>
        </w:tabs>
        <w:ind w:left="4680" w:hanging="180"/>
      </w:pPr>
    </w:lvl>
    <w:lvl w:ilvl="6" w:tplc="1118269E" w:tentative="1">
      <w:start w:val="1"/>
      <w:numFmt w:val="decimal"/>
      <w:lvlText w:val="%7."/>
      <w:lvlJc w:val="left"/>
      <w:pPr>
        <w:tabs>
          <w:tab w:val="num" w:pos="5400"/>
        </w:tabs>
        <w:ind w:left="5400" w:hanging="360"/>
      </w:pPr>
    </w:lvl>
    <w:lvl w:ilvl="7" w:tplc="F62A3120" w:tentative="1">
      <w:start w:val="1"/>
      <w:numFmt w:val="lowerLetter"/>
      <w:lvlText w:val="%8."/>
      <w:lvlJc w:val="left"/>
      <w:pPr>
        <w:tabs>
          <w:tab w:val="num" w:pos="6120"/>
        </w:tabs>
        <w:ind w:left="6120" w:hanging="360"/>
      </w:pPr>
    </w:lvl>
    <w:lvl w:ilvl="8" w:tplc="FEB85CEC" w:tentative="1">
      <w:start w:val="1"/>
      <w:numFmt w:val="lowerRoman"/>
      <w:lvlText w:val="%9."/>
      <w:lvlJc w:val="right"/>
      <w:pPr>
        <w:tabs>
          <w:tab w:val="num" w:pos="6840"/>
        </w:tabs>
        <w:ind w:left="6840" w:hanging="180"/>
      </w:pPr>
    </w:lvl>
  </w:abstractNum>
  <w:abstractNum w:abstractNumId="25">
    <w:nsid w:val="6766781E"/>
    <w:multiLevelType w:val="hybridMultilevel"/>
    <w:tmpl w:val="7D769E3E"/>
    <w:lvl w:ilvl="0" w:tplc="7B9A5704">
      <w:start w:val="2"/>
      <w:numFmt w:val="decimal"/>
      <w:lvlText w:val="%1."/>
      <w:lvlJc w:val="left"/>
      <w:pPr>
        <w:tabs>
          <w:tab w:val="num" w:pos="720"/>
        </w:tabs>
        <w:ind w:left="720" w:hanging="360"/>
      </w:pPr>
      <w:rPr>
        <w:rFonts w:hint="default"/>
      </w:rPr>
    </w:lvl>
    <w:lvl w:ilvl="1" w:tplc="B3BA6EC4" w:tentative="1">
      <w:start w:val="1"/>
      <w:numFmt w:val="lowerLetter"/>
      <w:lvlText w:val="%2."/>
      <w:lvlJc w:val="left"/>
      <w:pPr>
        <w:tabs>
          <w:tab w:val="num" w:pos="1440"/>
        </w:tabs>
        <w:ind w:left="1440" w:hanging="360"/>
      </w:pPr>
    </w:lvl>
    <w:lvl w:ilvl="2" w:tplc="B8DE9BF0" w:tentative="1">
      <w:start w:val="1"/>
      <w:numFmt w:val="lowerRoman"/>
      <w:lvlText w:val="%3."/>
      <w:lvlJc w:val="right"/>
      <w:pPr>
        <w:tabs>
          <w:tab w:val="num" w:pos="2160"/>
        </w:tabs>
        <w:ind w:left="2160" w:hanging="180"/>
      </w:pPr>
    </w:lvl>
    <w:lvl w:ilvl="3" w:tplc="D93EB740" w:tentative="1">
      <w:start w:val="1"/>
      <w:numFmt w:val="decimal"/>
      <w:lvlText w:val="%4."/>
      <w:lvlJc w:val="left"/>
      <w:pPr>
        <w:tabs>
          <w:tab w:val="num" w:pos="2880"/>
        </w:tabs>
        <w:ind w:left="2880" w:hanging="360"/>
      </w:pPr>
    </w:lvl>
    <w:lvl w:ilvl="4" w:tplc="BD4A6E74" w:tentative="1">
      <w:start w:val="1"/>
      <w:numFmt w:val="lowerLetter"/>
      <w:lvlText w:val="%5."/>
      <w:lvlJc w:val="left"/>
      <w:pPr>
        <w:tabs>
          <w:tab w:val="num" w:pos="3600"/>
        </w:tabs>
        <w:ind w:left="3600" w:hanging="360"/>
      </w:pPr>
    </w:lvl>
    <w:lvl w:ilvl="5" w:tplc="C450E78E" w:tentative="1">
      <w:start w:val="1"/>
      <w:numFmt w:val="lowerRoman"/>
      <w:lvlText w:val="%6."/>
      <w:lvlJc w:val="right"/>
      <w:pPr>
        <w:tabs>
          <w:tab w:val="num" w:pos="4320"/>
        </w:tabs>
        <w:ind w:left="4320" w:hanging="180"/>
      </w:pPr>
    </w:lvl>
    <w:lvl w:ilvl="6" w:tplc="D11812AC" w:tentative="1">
      <w:start w:val="1"/>
      <w:numFmt w:val="decimal"/>
      <w:lvlText w:val="%7."/>
      <w:lvlJc w:val="left"/>
      <w:pPr>
        <w:tabs>
          <w:tab w:val="num" w:pos="5040"/>
        </w:tabs>
        <w:ind w:left="5040" w:hanging="360"/>
      </w:pPr>
    </w:lvl>
    <w:lvl w:ilvl="7" w:tplc="A9B64F20" w:tentative="1">
      <w:start w:val="1"/>
      <w:numFmt w:val="lowerLetter"/>
      <w:lvlText w:val="%8."/>
      <w:lvlJc w:val="left"/>
      <w:pPr>
        <w:tabs>
          <w:tab w:val="num" w:pos="5760"/>
        </w:tabs>
        <w:ind w:left="5760" w:hanging="360"/>
      </w:pPr>
    </w:lvl>
    <w:lvl w:ilvl="8" w:tplc="100E4606" w:tentative="1">
      <w:start w:val="1"/>
      <w:numFmt w:val="lowerRoman"/>
      <w:lvlText w:val="%9."/>
      <w:lvlJc w:val="right"/>
      <w:pPr>
        <w:tabs>
          <w:tab w:val="num" w:pos="6480"/>
        </w:tabs>
        <w:ind w:left="6480" w:hanging="180"/>
      </w:pPr>
    </w:lvl>
  </w:abstractNum>
  <w:abstractNum w:abstractNumId="26">
    <w:nsid w:val="7ACD50E2"/>
    <w:multiLevelType w:val="hybridMultilevel"/>
    <w:tmpl w:val="269ECD54"/>
    <w:lvl w:ilvl="0" w:tplc="94065868">
      <w:start w:val="94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FD5A55"/>
    <w:multiLevelType w:val="hybridMultilevel"/>
    <w:tmpl w:val="FF284AEA"/>
    <w:lvl w:ilvl="0" w:tplc="B45A631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7C6B7B53"/>
    <w:multiLevelType w:val="hybridMultilevel"/>
    <w:tmpl w:val="7EAC1DFA"/>
    <w:lvl w:ilvl="0" w:tplc="7F962440">
      <w:start w:val="8"/>
      <w:numFmt w:val="decimal"/>
      <w:lvlText w:val="%1."/>
      <w:lvlJc w:val="left"/>
      <w:pPr>
        <w:tabs>
          <w:tab w:val="num" w:pos="1080"/>
        </w:tabs>
        <w:ind w:left="1080" w:hanging="720"/>
      </w:pPr>
      <w:rPr>
        <w:rFonts w:hint="default"/>
      </w:rPr>
    </w:lvl>
    <w:lvl w:ilvl="1" w:tplc="F4A610F2" w:tentative="1">
      <w:start w:val="1"/>
      <w:numFmt w:val="lowerLetter"/>
      <w:lvlText w:val="%2."/>
      <w:lvlJc w:val="left"/>
      <w:pPr>
        <w:tabs>
          <w:tab w:val="num" w:pos="1440"/>
        </w:tabs>
        <w:ind w:left="1440" w:hanging="360"/>
      </w:pPr>
    </w:lvl>
    <w:lvl w:ilvl="2" w:tplc="804C8662" w:tentative="1">
      <w:start w:val="1"/>
      <w:numFmt w:val="lowerRoman"/>
      <w:lvlText w:val="%3."/>
      <w:lvlJc w:val="right"/>
      <w:pPr>
        <w:tabs>
          <w:tab w:val="num" w:pos="2160"/>
        </w:tabs>
        <w:ind w:left="2160" w:hanging="180"/>
      </w:pPr>
    </w:lvl>
    <w:lvl w:ilvl="3" w:tplc="DCCAB41C" w:tentative="1">
      <w:start w:val="1"/>
      <w:numFmt w:val="decimal"/>
      <w:lvlText w:val="%4."/>
      <w:lvlJc w:val="left"/>
      <w:pPr>
        <w:tabs>
          <w:tab w:val="num" w:pos="2880"/>
        </w:tabs>
        <w:ind w:left="2880" w:hanging="360"/>
      </w:pPr>
    </w:lvl>
    <w:lvl w:ilvl="4" w:tplc="156075EA" w:tentative="1">
      <w:start w:val="1"/>
      <w:numFmt w:val="lowerLetter"/>
      <w:lvlText w:val="%5."/>
      <w:lvlJc w:val="left"/>
      <w:pPr>
        <w:tabs>
          <w:tab w:val="num" w:pos="3600"/>
        </w:tabs>
        <w:ind w:left="3600" w:hanging="360"/>
      </w:pPr>
    </w:lvl>
    <w:lvl w:ilvl="5" w:tplc="F8268B9C" w:tentative="1">
      <w:start w:val="1"/>
      <w:numFmt w:val="lowerRoman"/>
      <w:lvlText w:val="%6."/>
      <w:lvlJc w:val="right"/>
      <w:pPr>
        <w:tabs>
          <w:tab w:val="num" w:pos="4320"/>
        </w:tabs>
        <w:ind w:left="4320" w:hanging="180"/>
      </w:pPr>
    </w:lvl>
    <w:lvl w:ilvl="6" w:tplc="41E0C42C" w:tentative="1">
      <w:start w:val="1"/>
      <w:numFmt w:val="decimal"/>
      <w:lvlText w:val="%7."/>
      <w:lvlJc w:val="left"/>
      <w:pPr>
        <w:tabs>
          <w:tab w:val="num" w:pos="5040"/>
        </w:tabs>
        <w:ind w:left="5040" w:hanging="360"/>
      </w:pPr>
    </w:lvl>
    <w:lvl w:ilvl="7" w:tplc="5F6ABBF6" w:tentative="1">
      <w:start w:val="1"/>
      <w:numFmt w:val="lowerLetter"/>
      <w:lvlText w:val="%8."/>
      <w:lvlJc w:val="left"/>
      <w:pPr>
        <w:tabs>
          <w:tab w:val="num" w:pos="5760"/>
        </w:tabs>
        <w:ind w:left="5760" w:hanging="360"/>
      </w:pPr>
    </w:lvl>
    <w:lvl w:ilvl="8" w:tplc="472020DE" w:tentative="1">
      <w:start w:val="1"/>
      <w:numFmt w:val="lowerRoman"/>
      <w:lvlText w:val="%9."/>
      <w:lvlJc w:val="right"/>
      <w:pPr>
        <w:tabs>
          <w:tab w:val="num" w:pos="6480"/>
        </w:tabs>
        <w:ind w:left="6480" w:hanging="180"/>
      </w:pPr>
    </w:lvl>
  </w:abstractNum>
  <w:abstractNum w:abstractNumId="29">
    <w:nsid w:val="7D2707E6"/>
    <w:multiLevelType w:val="hybridMultilevel"/>
    <w:tmpl w:val="53568642"/>
    <w:lvl w:ilvl="0" w:tplc="4CCA376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0">
    <w:nsid w:val="7F570111"/>
    <w:multiLevelType w:val="hybridMultilevel"/>
    <w:tmpl w:val="37F667AE"/>
    <w:lvl w:ilvl="0" w:tplc="0409000F">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F745183"/>
    <w:multiLevelType w:val="hybridMultilevel"/>
    <w:tmpl w:val="2B76B4B0"/>
    <w:lvl w:ilvl="0" w:tplc="F7E48A42">
      <w:start w:val="1"/>
      <w:numFmt w:val="lowerLetter"/>
      <w:lvlText w:val="(%1)"/>
      <w:lvlJc w:val="left"/>
      <w:pPr>
        <w:ind w:left="1080" w:hanging="360"/>
      </w:pPr>
      <w:rPr>
        <w:rFonts w:hint="default"/>
      </w:rPr>
    </w:lvl>
    <w:lvl w:ilvl="1" w:tplc="AB9AD07E" w:tentative="1">
      <w:start w:val="1"/>
      <w:numFmt w:val="lowerLetter"/>
      <w:lvlText w:val="%2."/>
      <w:lvlJc w:val="left"/>
      <w:pPr>
        <w:ind w:left="1800" w:hanging="360"/>
      </w:pPr>
    </w:lvl>
    <w:lvl w:ilvl="2" w:tplc="F0F23ED8" w:tentative="1">
      <w:start w:val="1"/>
      <w:numFmt w:val="lowerRoman"/>
      <w:lvlText w:val="%3."/>
      <w:lvlJc w:val="right"/>
      <w:pPr>
        <w:ind w:left="2520" w:hanging="180"/>
      </w:pPr>
    </w:lvl>
    <w:lvl w:ilvl="3" w:tplc="69A201C6" w:tentative="1">
      <w:start w:val="1"/>
      <w:numFmt w:val="decimal"/>
      <w:lvlText w:val="%4."/>
      <w:lvlJc w:val="left"/>
      <w:pPr>
        <w:ind w:left="3240" w:hanging="360"/>
      </w:pPr>
    </w:lvl>
    <w:lvl w:ilvl="4" w:tplc="82E62B0E" w:tentative="1">
      <w:start w:val="1"/>
      <w:numFmt w:val="lowerLetter"/>
      <w:lvlText w:val="%5."/>
      <w:lvlJc w:val="left"/>
      <w:pPr>
        <w:ind w:left="3960" w:hanging="360"/>
      </w:pPr>
    </w:lvl>
    <w:lvl w:ilvl="5" w:tplc="1E2A7DBE" w:tentative="1">
      <w:start w:val="1"/>
      <w:numFmt w:val="lowerRoman"/>
      <w:lvlText w:val="%6."/>
      <w:lvlJc w:val="right"/>
      <w:pPr>
        <w:ind w:left="4680" w:hanging="180"/>
      </w:pPr>
    </w:lvl>
    <w:lvl w:ilvl="6" w:tplc="49C4422A" w:tentative="1">
      <w:start w:val="1"/>
      <w:numFmt w:val="decimal"/>
      <w:lvlText w:val="%7."/>
      <w:lvlJc w:val="left"/>
      <w:pPr>
        <w:ind w:left="5400" w:hanging="360"/>
      </w:pPr>
    </w:lvl>
    <w:lvl w:ilvl="7" w:tplc="9782C224" w:tentative="1">
      <w:start w:val="1"/>
      <w:numFmt w:val="lowerLetter"/>
      <w:lvlText w:val="%8."/>
      <w:lvlJc w:val="left"/>
      <w:pPr>
        <w:ind w:left="6120" w:hanging="360"/>
      </w:pPr>
    </w:lvl>
    <w:lvl w:ilvl="8" w:tplc="63227B6C" w:tentative="1">
      <w:start w:val="1"/>
      <w:numFmt w:val="lowerRoman"/>
      <w:lvlText w:val="%9."/>
      <w:lvlJc w:val="right"/>
      <w:pPr>
        <w:ind w:left="6840" w:hanging="180"/>
      </w:pPr>
    </w:lvl>
  </w:abstractNum>
  <w:num w:numId="1">
    <w:abstractNumId w:val="1"/>
  </w:num>
  <w:num w:numId="2">
    <w:abstractNumId w:val="11"/>
  </w:num>
  <w:num w:numId="3">
    <w:abstractNumId w:val="5"/>
  </w:num>
  <w:num w:numId="4">
    <w:abstractNumId w:val="28"/>
  </w:num>
  <w:num w:numId="5">
    <w:abstractNumId w:val="13"/>
  </w:num>
  <w:num w:numId="6">
    <w:abstractNumId w:val="17"/>
  </w:num>
  <w:num w:numId="7">
    <w:abstractNumId w:val="15"/>
  </w:num>
  <w:num w:numId="8">
    <w:abstractNumId w:val="10"/>
  </w:num>
  <w:num w:numId="9">
    <w:abstractNumId w:val="19"/>
  </w:num>
  <w:num w:numId="10">
    <w:abstractNumId w:val="9"/>
  </w:num>
  <w:num w:numId="11">
    <w:abstractNumId w:val="6"/>
  </w:num>
  <w:num w:numId="12">
    <w:abstractNumId w:val="25"/>
  </w:num>
  <w:num w:numId="13">
    <w:abstractNumId w:val="3"/>
  </w:num>
  <w:num w:numId="14">
    <w:abstractNumId w:val="24"/>
  </w:num>
  <w:num w:numId="15">
    <w:abstractNumId w:val="22"/>
  </w:num>
  <w:num w:numId="16">
    <w:abstractNumId w:val="7"/>
  </w:num>
  <w:num w:numId="17">
    <w:abstractNumId w:val="8"/>
  </w:num>
  <w:num w:numId="18">
    <w:abstractNumId w:val="2"/>
  </w:num>
  <w:num w:numId="19">
    <w:abstractNumId w:val="31"/>
  </w:num>
  <w:num w:numId="20">
    <w:abstractNumId w:val="29"/>
  </w:num>
  <w:num w:numId="21">
    <w:abstractNumId w:val="18"/>
  </w:num>
  <w:num w:numId="22">
    <w:abstractNumId w:val="23"/>
  </w:num>
  <w:num w:numId="23">
    <w:abstractNumId w:val="12"/>
  </w:num>
  <w:num w:numId="24">
    <w:abstractNumId w:val="14"/>
  </w:num>
  <w:num w:numId="25">
    <w:abstractNumId w:val="20"/>
  </w:num>
  <w:num w:numId="26">
    <w:abstractNumId w:val="21"/>
  </w:num>
  <w:num w:numId="27">
    <w:abstractNumId w:val="4"/>
  </w:num>
  <w:num w:numId="28">
    <w:abstractNumId w:val="26"/>
  </w:num>
  <w:num w:numId="29">
    <w:abstractNumId w:val="30"/>
  </w:num>
  <w:num w:numId="30">
    <w:abstractNumId w:val="16"/>
  </w:num>
  <w:num w:numId="31">
    <w:abstractNumId w:val="0"/>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useFELayout/>
  </w:compat>
  <w:docVars>
    <w:docVar w:name="AO" w:val=" "/>
  </w:docVars>
  <w:rsids>
    <w:rsidRoot w:val="00CB0137"/>
    <w:rsid w:val="00001371"/>
    <w:rsid w:val="00001A5B"/>
    <w:rsid w:val="00003AD0"/>
    <w:rsid w:val="00005157"/>
    <w:rsid w:val="00010094"/>
    <w:rsid w:val="000108A3"/>
    <w:rsid w:val="000146B1"/>
    <w:rsid w:val="000169FD"/>
    <w:rsid w:val="00023084"/>
    <w:rsid w:val="000239AB"/>
    <w:rsid w:val="00026588"/>
    <w:rsid w:val="00026622"/>
    <w:rsid w:val="00026DFC"/>
    <w:rsid w:val="00027884"/>
    <w:rsid w:val="000305EF"/>
    <w:rsid w:val="00032208"/>
    <w:rsid w:val="00033F8D"/>
    <w:rsid w:val="0003785C"/>
    <w:rsid w:val="000410C1"/>
    <w:rsid w:val="00042B58"/>
    <w:rsid w:val="00042C0E"/>
    <w:rsid w:val="00047A2F"/>
    <w:rsid w:val="00052C43"/>
    <w:rsid w:val="00053CCA"/>
    <w:rsid w:val="00061556"/>
    <w:rsid w:val="00062012"/>
    <w:rsid w:val="00065F0C"/>
    <w:rsid w:val="0006634D"/>
    <w:rsid w:val="00071E52"/>
    <w:rsid w:val="000723DF"/>
    <w:rsid w:val="00072B78"/>
    <w:rsid w:val="00072E78"/>
    <w:rsid w:val="00076668"/>
    <w:rsid w:val="00076EEA"/>
    <w:rsid w:val="00077C5D"/>
    <w:rsid w:val="000823D3"/>
    <w:rsid w:val="000901BB"/>
    <w:rsid w:val="00090E05"/>
    <w:rsid w:val="000928C1"/>
    <w:rsid w:val="00094628"/>
    <w:rsid w:val="00094F95"/>
    <w:rsid w:val="00095DF4"/>
    <w:rsid w:val="00097877"/>
    <w:rsid w:val="000A01DD"/>
    <w:rsid w:val="000A0696"/>
    <w:rsid w:val="000A694B"/>
    <w:rsid w:val="000A70B4"/>
    <w:rsid w:val="000B01EF"/>
    <w:rsid w:val="000B5F8B"/>
    <w:rsid w:val="000B76D4"/>
    <w:rsid w:val="000B77DD"/>
    <w:rsid w:val="000B7E78"/>
    <w:rsid w:val="000C00EA"/>
    <w:rsid w:val="000C081A"/>
    <w:rsid w:val="000C31BE"/>
    <w:rsid w:val="000C4DA9"/>
    <w:rsid w:val="000C52A2"/>
    <w:rsid w:val="000C55E2"/>
    <w:rsid w:val="000C5A81"/>
    <w:rsid w:val="000C65DB"/>
    <w:rsid w:val="000C718F"/>
    <w:rsid w:val="000D3477"/>
    <w:rsid w:val="000E201D"/>
    <w:rsid w:val="000E3899"/>
    <w:rsid w:val="000F2E68"/>
    <w:rsid w:val="000F304B"/>
    <w:rsid w:val="00104B62"/>
    <w:rsid w:val="001103D5"/>
    <w:rsid w:val="00112825"/>
    <w:rsid w:val="00123C68"/>
    <w:rsid w:val="001240AF"/>
    <w:rsid w:val="00126D75"/>
    <w:rsid w:val="00131D55"/>
    <w:rsid w:val="00146CF6"/>
    <w:rsid w:val="00154B7A"/>
    <w:rsid w:val="00163CA7"/>
    <w:rsid w:val="001652C5"/>
    <w:rsid w:val="00165D35"/>
    <w:rsid w:val="001667A4"/>
    <w:rsid w:val="001743DD"/>
    <w:rsid w:val="00175965"/>
    <w:rsid w:val="001762E2"/>
    <w:rsid w:val="001763B8"/>
    <w:rsid w:val="00180F38"/>
    <w:rsid w:val="00181ACC"/>
    <w:rsid w:val="001850C5"/>
    <w:rsid w:val="0019111C"/>
    <w:rsid w:val="00192C81"/>
    <w:rsid w:val="00192DE0"/>
    <w:rsid w:val="001946BE"/>
    <w:rsid w:val="001953DD"/>
    <w:rsid w:val="00195A95"/>
    <w:rsid w:val="001968F0"/>
    <w:rsid w:val="001A1DE4"/>
    <w:rsid w:val="001A208B"/>
    <w:rsid w:val="001A2E53"/>
    <w:rsid w:val="001A4933"/>
    <w:rsid w:val="001A51DC"/>
    <w:rsid w:val="001A79A7"/>
    <w:rsid w:val="001B1E79"/>
    <w:rsid w:val="001B2237"/>
    <w:rsid w:val="001B2F29"/>
    <w:rsid w:val="001B624B"/>
    <w:rsid w:val="001B6369"/>
    <w:rsid w:val="001B7563"/>
    <w:rsid w:val="001C28CF"/>
    <w:rsid w:val="001C664F"/>
    <w:rsid w:val="001C695B"/>
    <w:rsid w:val="001C6DFD"/>
    <w:rsid w:val="001C6EFA"/>
    <w:rsid w:val="001C73F9"/>
    <w:rsid w:val="001E0A9E"/>
    <w:rsid w:val="001E4914"/>
    <w:rsid w:val="001F0E65"/>
    <w:rsid w:val="001F2498"/>
    <w:rsid w:val="001F3055"/>
    <w:rsid w:val="001F4A07"/>
    <w:rsid w:val="00203098"/>
    <w:rsid w:val="00207303"/>
    <w:rsid w:val="00221BA0"/>
    <w:rsid w:val="00221BBE"/>
    <w:rsid w:val="00222952"/>
    <w:rsid w:val="00224262"/>
    <w:rsid w:val="002276FD"/>
    <w:rsid w:val="00227D9A"/>
    <w:rsid w:val="0023112A"/>
    <w:rsid w:val="00231277"/>
    <w:rsid w:val="0023583C"/>
    <w:rsid w:val="002402B7"/>
    <w:rsid w:val="00244F32"/>
    <w:rsid w:val="002456C0"/>
    <w:rsid w:val="0024664E"/>
    <w:rsid w:val="0025178F"/>
    <w:rsid w:val="0026122B"/>
    <w:rsid w:val="0026128C"/>
    <w:rsid w:val="00266625"/>
    <w:rsid w:val="00267D4F"/>
    <w:rsid w:val="00271846"/>
    <w:rsid w:val="002733F0"/>
    <w:rsid w:val="0027396B"/>
    <w:rsid w:val="0027508E"/>
    <w:rsid w:val="0027654C"/>
    <w:rsid w:val="00291DFE"/>
    <w:rsid w:val="002945E3"/>
    <w:rsid w:val="002966CF"/>
    <w:rsid w:val="002966D8"/>
    <w:rsid w:val="002A0140"/>
    <w:rsid w:val="002A79D1"/>
    <w:rsid w:val="002B31C8"/>
    <w:rsid w:val="002B44E1"/>
    <w:rsid w:val="002B5A23"/>
    <w:rsid w:val="002B757B"/>
    <w:rsid w:val="002C27BD"/>
    <w:rsid w:val="002C2EC4"/>
    <w:rsid w:val="002D5D37"/>
    <w:rsid w:val="002E1D18"/>
    <w:rsid w:val="002E1E0D"/>
    <w:rsid w:val="002E3B9C"/>
    <w:rsid w:val="002E4C43"/>
    <w:rsid w:val="002E5432"/>
    <w:rsid w:val="002F0113"/>
    <w:rsid w:val="002F2381"/>
    <w:rsid w:val="002F746E"/>
    <w:rsid w:val="0030078C"/>
    <w:rsid w:val="00300E37"/>
    <w:rsid w:val="00301E42"/>
    <w:rsid w:val="00303811"/>
    <w:rsid w:val="00307BC2"/>
    <w:rsid w:val="0031517A"/>
    <w:rsid w:val="00316CD0"/>
    <w:rsid w:val="00320FE7"/>
    <w:rsid w:val="00327DBF"/>
    <w:rsid w:val="003325F9"/>
    <w:rsid w:val="00334F41"/>
    <w:rsid w:val="003378A8"/>
    <w:rsid w:val="00341EF8"/>
    <w:rsid w:val="00343B22"/>
    <w:rsid w:val="00343D06"/>
    <w:rsid w:val="00350B3D"/>
    <w:rsid w:val="00350F22"/>
    <w:rsid w:val="003544BD"/>
    <w:rsid w:val="00356F4A"/>
    <w:rsid w:val="00357ED7"/>
    <w:rsid w:val="00364024"/>
    <w:rsid w:val="0036780E"/>
    <w:rsid w:val="003723E8"/>
    <w:rsid w:val="0037249C"/>
    <w:rsid w:val="003751C9"/>
    <w:rsid w:val="00375D47"/>
    <w:rsid w:val="00376849"/>
    <w:rsid w:val="00377475"/>
    <w:rsid w:val="003775E3"/>
    <w:rsid w:val="00380C92"/>
    <w:rsid w:val="003856D7"/>
    <w:rsid w:val="00386B76"/>
    <w:rsid w:val="00390083"/>
    <w:rsid w:val="0039060D"/>
    <w:rsid w:val="00391264"/>
    <w:rsid w:val="00394561"/>
    <w:rsid w:val="0039519A"/>
    <w:rsid w:val="003A6677"/>
    <w:rsid w:val="003A71C8"/>
    <w:rsid w:val="003B1335"/>
    <w:rsid w:val="003B2A24"/>
    <w:rsid w:val="003B2DC3"/>
    <w:rsid w:val="003C00CD"/>
    <w:rsid w:val="003C0D21"/>
    <w:rsid w:val="003C160D"/>
    <w:rsid w:val="003C1B1D"/>
    <w:rsid w:val="003C5BB2"/>
    <w:rsid w:val="003D0891"/>
    <w:rsid w:val="003D0C65"/>
    <w:rsid w:val="003D1E99"/>
    <w:rsid w:val="003D27BE"/>
    <w:rsid w:val="003D44F2"/>
    <w:rsid w:val="003D4B46"/>
    <w:rsid w:val="003D4FDD"/>
    <w:rsid w:val="003D605E"/>
    <w:rsid w:val="003E2B15"/>
    <w:rsid w:val="003F67D3"/>
    <w:rsid w:val="003F72F5"/>
    <w:rsid w:val="00402FFB"/>
    <w:rsid w:val="0041579D"/>
    <w:rsid w:val="0041603E"/>
    <w:rsid w:val="00417235"/>
    <w:rsid w:val="00420B63"/>
    <w:rsid w:val="00420EEC"/>
    <w:rsid w:val="00421AE7"/>
    <w:rsid w:val="0042333E"/>
    <w:rsid w:val="00423BA3"/>
    <w:rsid w:val="0042578B"/>
    <w:rsid w:val="00426D94"/>
    <w:rsid w:val="00427A9B"/>
    <w:rsid w:val="00431A42"/>
    <w:rsid w:val="004352CC"/>
    <w:rsid w:val="00440C62"/>
    <w:rsid w:val="00443931"/>
    <w:rsid w:val="004469EB"/>
    <w:rsid w:val="00450B76"/>
    <w:rsid w:val="004704DF"/>
    <w:rsid w:val="00471C1F"/>
    <w:rsid w:val="004749C6"/>
    <w:rsid w:val="00475D14"/>
    <w:rsid w:val="00475F17"/>
    <w:rsid w:val="0048027C"/>
    <w:rsid w:val="004818F5"/>
    <w:rsid w:val="004832D2"/>
    <w:rsid w:val="00485D8E"/>
    <w:rsid w:val="00487BBD"/>
    <w:rsid w:val="004A013C"/>
    <w:rsid w:val="004A0191"/>
    <w:rsid w:val="004A1D01"/>
    <w:rsid w:val="004A3DD2"/>
    <w:rsid w:val="004A428F"/>
    <w:rsid w:val="004A50FB"/>
    <w:rsid w:val="004A5E85"/>
    <w:rsid w:val="004A6AA3"/>
    <w:rsid w:val="004C1494"/>
    <w:rsid w:val="004C2619"/>
    <w:rsid w:val="004C262C"/>
    <w:rsid w:val="004C2C91"/>
    <w:rsid w:val="004C7543"/>
    <w:rsid w:val="004C7839"/>
    <w:rsid w:val="004D60CF"/>
    <w:rsid w:val="004D639E"/>
    <w:rsid w:val="004D64D4"/>
    <w:rsid w:val="004E2C0F"/>
    <w:rsid w:val="004F3C73"/>
    <w:rsid w:val="004F715B"/>
    <w:rsid w:val="004F7E93"/>
    <w:rsid w:val="00503474"/>
    <w:rsid w:val="005037C0"/>
    <w:rsid w:val="00504EC6"/>
    <w:rsid w:val="00506C18"/>
    <w:rsid w:val="00507004"/>
    <w:rsid w:val="00511270"/>
    <w:rsid w:val="00511C37"/>
    <w:rsid w:val="00515825"/>
    <w:rsid w:val="00516714"/>
    <w:rsid w:val="0051755A"/>
    <w:rsid w:val="00517955"/>
    <w:rsid w:val="00520FBA"/>
    <w:rsid w:val="00521977"/>
    <w:rsid w:val="00524399"/>
    <w:rsid w:val="005249CE"/>
    <w:rsid w:val="00525B7C"/>
    <w:rsid w:val="005263B5"/>
    <w:rsid w:val="0053407C"/>
    <w:rsid w:val="0053446E"/>
    <w:rsid w:val="00535472"/>
    <w:rsid w:val="0053572E"/>
    <w:rsid w:val="005410AA"/>
    <w:rsid w:val="00542C7B"/>
    <w:rsid w:val="005440D6"/>
    <w:rsid w:val="00544B25"/>
    <w:rsid w:val="00547473"/>
    <w:rsid w:val="00547D7A"/>
    <w:rsid w:val="00547EAA"/>
    <w:rsid w:val="005506CF"/>
    <w:rsid w:val="00552E5C"/>
    <w:rsid w:val="0055310E"/>
    <w:rsid w:val="00553C22"/>
    <w:rsid w:val="005576B3"/>
    <w:rsid w:val="0055789F"/>
    <w:rsid w:val="0056063F"/>
    <w:rsid w:val="00561D69"/>
    <w:rsid w:val="0056520C"/>
    <w:rsid w:val="00565CBE"/>
    <w:rsid w:val="00565D2C"/>
    <w:rsid w:val="00565D63"/>
    <w:rsid w:val="00567D15"/>
    <w:rsid w:val="00572400"/>
    <w:rsid w:val="00573399"/>
    <w:rsid w:val="00575BE5"/>
    <w:rsid w:val="005836E6"/>
    <w:rsid w:val="00584A30"/>
    <w:rsid w:val="00585969"/>
    <w:rsid w:val="00585ACF"/>
    <w:rsid w:val="00585AFF"/>
    <w:rsid w:val="00585EA8"/>
    <w:rsid w:val="005873E5"/>
    <w:rsid w:val="005879C9"/>
    <w:rsid w:val="0059089A"/>
    <w:rsid w:val="00592822"/>
    <w:rsid w:val="00592B4C"/>
    <w:rsid w:val="00595156"/>
    <w:rsid w:val="00595E9D"/>
    <w:rsid w:val="0059643D"/>
    <w:rsid w:val="00596EE3"/>
    <w:rsid w:val="005A09D2"/>
    <w:rsid w:val="005A1E96"/>
    <w:rsid w:val="005A7524"/>
    <w:rsid w:val="005A7BDE"/>
    <w:rsid w:val="005B3510"/>
    <w:rsid w:val="005B6BF1"/>
    <w:rsid w:val="005C0B79"/>
    <w:rsid w:val="005C0F69"/>
    <w:rsid w:val="005C33B5"/>
    <w:rsid w:val="005C3433"/>
    <w:rsid w:val="005C57F7"/>
    <w:rsid w:val="005C7B65"/>
    <w:rsid w:val="005D0561"/>
    <w:rsid w:val="005D3454"/>
    <w:rsid w:val="005D3ABC"/>
    <w:rsid w:val="005E124D"/>
    <w:rsid w:val="005E285B"/>
    <w:rsid w:val="005E4E32"/>
    <w:rsid w:val="005F3516"/>
    <w:rsid w:val="005F5414"/>
    <w:rsid w:val="005F73E4"/>
    <w:rsid w:val="005F7D01"/>
    <w:rsid w:val="0060072F"/>
    <w:rsid w:val="00603648"/>
    <w:rsid w:val="00605031"/>
    <w:rsid w:val="00605172"/>
    <w:rsid w:val="006058D2"/>
    <w:rsid w:val="0061072D"/>
    <w:rsid w:val="00612616"/>
    <w:rsid w:val="0061263D"/>
    <w:rsid w:val="006137BD"/>
    <w:rsid w:val="00614994"/>
    <w:rsid w:val="00614CE2"/>
    <w:rsid w:val="00623858"/>
    <w:rsid w:val="00630B4D"/>
    <w:rsid w:val="0063231E"/>
    <w:rsid w:val="006348B3"/>
    <w:rsid w:val="00635ADA"/>
    <w:rsid w:val="00636E2B"/>
    <w:rsid w:val="006408A9"/>
    <w:rsid w:val="006500F8"/>
    <w:rsid w:val="00650F1B"/>
    <w:rsid w:val="00651B28"/>
    <w:rsid w:val="00652377"/>
    <w:rsid w:val="00666280"/>
    <w:rsid w:val="00671AEC"/>
    <w:rsid w:val="0067291D"/>
    <w:rsid w:val="0067418B"/>
    <w:rsid w:val="0067707B"/>
    <w:rsid w:val="006773A8"/>
    <w:rsid w:val="006813C9"/>
    <w:rsid w:val="00681EE3"/>
    <w:rsid w:val="00685634"/>
    <w:rsid w:val="00687A95"/>
    <w:rsid w:val="0069252B"/>
    <w:rsid w:val="0069322D"/>
    <w:rsid w:val="0069469B"/>
    <w:rsid w:val="006A5D94"/>
    <w:rsid w:val="006A6C04"/>
    <w:rsid w:val="006B0764"/>
    <w:rsid w:val="006B3A4E"/>
    <w:rsid w:val="006B5BDB"/>
    <w:rsid w:val="006B6360"/>
    <w:rsid w:val="006C0EE0"/>
    <w:rsid w:val="006C14FC"/>
    <w:rsid w:val="006C21BE"/>
    <w:rsid w:val="006C529E"/>
    <w:rsid w:val="006D6493"/>
    <w:rsid w:val="006D6FF6"/>
    <w:rsid w:val="006E1DE6"/>
    <w:rsid w:val="006E1F91"/>
    <w:rsid w:val="006E353E"/>
    <w:rsid w:val="006E38C3"/>
    <w:rsid w:val="006E668C"/>
    <w:rsid w:val="006F71D1"/>
    <w:rsid w:val="00700C44"/>
    <w:rsid w:val="00700EC7"/>
    <w:rsid w:val="007015E1"/>
    <w:rsid w:val="00702186"/>
    <w:rsid w:val="00702E1D"/>
    <w:rsid w:val="00703398"/>
    <w:rsid w:val="00703DD7"/>
    <w:rsid w:val="007062AE"/>
    <w:rsid w:val="00706C0C"/>
    <w:rsid w:val="007158EE"/>
    <w:rsid w:val="00717654"/>
    <w:rsid w:val="00717F77"/>
    <w:rsid w:val="00722CA8"/>
    <w:rsid w:val="00723D2C"/>
    <w:rsid w:val="007309BA"/>
    <w:rsid w:val="00730A51"/>
    <w:rsid w:val="00730BD5"/>
    <w:rsid w:val="00731EBB"/>
    <w:rsid w:val="00734771"/>
    <w:rsid w:val="0073479C"/>
    <w:rsid w:val="007350AD"/>
    <w:rsid w:val="00740585"/>
    <w:rsid w:val="00743CB1"/>
    <w:rsid w:val="00746296"/>
    <w:rsid w:val="007512E3"/>
    <w:rsid w:val="00763DAC"/>
    <w:rsid w:val="00763FF6"/>
    <w:rsid w:val="00764192"/>
    <w:rsid w:val="00766036"/>
    <w:rsid w:val="0076652D"/>
    <w:rsid w:val="00767376"/>
    <w:rsid w:val="00767902"/>
    <w:rsid w:val="00771739"/>
    <w:rsid w:val="0077461C"/>
    <w:rsid w:val="00774AE7"/>
    <w:rsid w:val="00776538"/>
    <w:rsid w:val="007835DF"/>
    <w:rsid w:val="00783F70"/>
    <w:rsid w:val="00784D0E"/>
    <w:rsid w:val="00793DFE"/>
    <w:rsid w:val="00793FBE"/>
    <w:rsid w:val="00794C40"/>
    <w:rsid w:val="007A0B52"/>
    <w:rsid w:val="007A1CF3"/>
    <w:rsid w:val="007A322E"/>
    <w:rsid w:val="007A3C4E"/>
    <w:rsid w:val="007A3D9A"/>
    <w:rsid w:val="007A4D23"/>
    <w:rsid w:val="007A55D7"/>
    <w:rsid w:val="007A5AFE"/>
    <w:rsid w:val="007B16CA"/>
    <w:rsid w:val="007B2967"/>
    <w:rsid w:val="007B47DA"/>
    <w:rsid w:val="007B5398"/>
    <w:rsid w:val="007B6140"/>
    <w:rsid w:val="007C42C1"/>
    <w:rsid w:val="007C67B1"/>
    <w:rsid w:val="007D07CF"/>
    <w:rsid w:val="007D1B80"/>
    <w:rsid w:val="007D20E9"/>
    <w:rsid w:val="007D58EE"/>
    <w:rsid w:val="007D6C1A"/>
    <w:rsid w:val="007E0576"/>
    <w:rsid w:val="007E0B17"/>
    <w:rsid w:val="007E40B4"/>
    <w:rsid w:val="007E55EF"/>
    <w:rsid w:val="007E7713"/>
    <w:rsid w:val="007F1622"/>
    <w:rsid w:val="007F32B1"/>
    <w:rsid w:val="007F349A"/>
    <w:rsid w:val="007F6BAE"/>
    <w:rsid w:val="00800B5A"/>
    <w:rsid w:val="0080245B"/>
    <w:rsid w:val="00802478"/>
    <w:rsid w:val="008051CB"/>
    <w:rsid w:val="00805AF1"/>
    <w:rsid w:val="008105E1"/>
    <w:rsid w:val="00813F2E"/>
    <w:rsid w:val="00820786"/>
    <w:rsid w:val="00821AA3"/>
    <w:rsid w:val="008243AC"/>
    <w:rsid w:val="00824D62"/>
    <w:rsid w:val="00825948"/>
    <w:rsid w:val="00827A91"/>
    <w:rsid w:val="00835881"/>
    <w:rsid w:val="00836791"/>
    <w:rsid w:val="008405F1"/>
    <w:rsid w:val="00844539"/>
    <w:rsid w:val="008450D3"/>
    <w:rsid w:val="00845C58"/>
    <w:rsid w:val="00851B79"/>
    <w:rsid w:val="00855E37"/>
    <w:rsid w:val="0086005B"/>
    <w:rsid w:val="00862287"/>
    <w:rsid w:val="008642BE"/>
    <w:rsid w:val="008653F1"/>
    <w:rsid w:val="00865E83"/>
    <w:rsid w:val="00871765"/>
    <w:rsid w:val="00876594"/>
    <w:rsid w:val="008817A3"/>
    <w:rsid w:val="00882EC8"/>
    <w:rsid w:val="008855F1"/>
    <w:rsid w:val="008913B6"/>
    <w:rsid w:val="008920A3"/>
    <w:rsid w:val="0089262D"/>
    <w:rsid w:val="00896BE3"/>
    <w:rsid w:val="008A1032"/>
    <w:rsid w:val="008A38B4"/>
    <w:rsid w:val="008A4CE1"/>
    <w:rsid w:val="008A6235"/>
    <w:rsid w:val="008B08A7"/>
    <w:rsid w:val="008B6A74"/>
    <w:rsid w:val="008B7DE8"/>
    <w:rsid w:val="008C0E6F"/>
    <w:rsid w:val="008C2086"/>
    <w:rsid w:val="008C3679"/>
    <w:rsid w:val="008C4795"/>
    <w:rsid w:val="008C614D"/>
    <w:rsid w:val="008C61D5"/>
    <w:rsid w:val="008C653C"/>
    <w:rsid w:val="008C697C"/>
    <w:rsid w:val="008C6BCD"/>
    <w:rsid w:val="008C7F61"/>
    <w:rsid w:val="008D170C"/>
    <w:rsid w:val="008D3B6A"/>
    <w:rsid w:val="008D4C1B"/>
    <w:rsid w:val="008D5977"/>
    <w:rsid w:val="008E3E92"/>
    <w:rsid w:val="008E42AB"/>
    <w:rsid w:val="008E4991"/>
    <w:rsid w:val="008F1327"/>
    <w:rsid w:val="008F440D"/>
    <w:rsid w:val="008F48A6"/>
    <w:rsid w:val="008F526D"/>
    <w:rsid w:val="008F73C8"/>
    <w:rsid w:val="00910767"/>
    <w:rsid w:val="00915FD6"/>
    <w:rsid w:val="009163EA"/>
    <w:rsid w:val="0092082C"/>
    <w:rsid w:val="009242C9"/>
    <w:rsid w:val="00925656"/>
    <w:rsid w:val="00930D67"/>
    <w:rsid w:val="0093162E"/>
    <w:rsid w:val="00933D82"/>
    <w:rsid w:val="00933F5B"/>
    <w:rsid w:val="00935C1B"/>
    <w:rsid w:val="00937469"/>
    <w:rsid w:val="00937B26"/>
    <w:rsid w:val="0094006F"/>
    <w:rsid w:val="00944F56"/>
    <w:rsid w:val="00945663"/>
    <w:rsid w:val="0095202D"/>
    <w:rsid w:val="00954585"/>
    <w:rsid w:val="00956CDC"/>
    <w:rsid w:val="00962C93"/>
    <w:rsid w:val="00971883"/>
    <w:rsid w:val="00975BE2"/>
    <w:rsid w:val="00976A27"/>
    <w:rsid w:val="00977B21"/>
    <w:rsid w:val="0098140A"/>
    <w:rsid w:val="00982190"/>
    <w:rsid w:val="00983BE0"/>
    <w:rsid w:val="00984871"/>
    <w:rsid w:val="009855F8"/>
    <w:rsid w:val="009918CD"/>
    <w:rsid w:val="0099417B"/>
    <w:rsid w:val="00994D0F"/>
    <w:rsid w:val="0099562D"/>
    <w:rsid w:val="0099678E"/>
    <w:rsid w:val="009A0E56"/>
    <w:rsid w:val="009A12C8"/>
    <w:rsid w:val="009A185C"/>
    <w:rsid w:val="009A1C02"/>
    <w:rsid w:val="009A5365"/>
    <w:rsid w:val="009A78D2"/>
    <w:rsid w:val="009A7A95"/>
    <w:rsid w:val="009B2E32"/>
    <w:rsid w:val="009B431C"/>
    <w:rsid w:val="009B4760"/>
    <w:rsid w:val="009B5EEE"/>
    <w:rsid w:val="009B7D6B"/>
    <w:rsid w:val="009C4365"/>
    <w:rsid w:val="009C4CEF"/>
    <w:rsid w:val="009C5D65"/>
    <w:rsid w:val="009D2C8B"/>
    <w:rsid w:val="009D67EE"/>
    <w:rsid w:val="009D6E4C"/>
    <w:rsid w:val="009E297D"/>
    <w:rsid w:val="009E7160"/>
    <w:rsid w:val="009F508A"/>
    <w:rsid w:val="009F53EC"/>
    <w:rsid w:val="009F5ED8"/>
    <w:rsid w:val="009F68E5"/>
    <w:rsid w:val="009F7D08"/>
    <w:rsid w:val="00A03123"/>
    <w:rsid w:val="00A040A6"/>
    <w:rsid w:val="00A106FC"/>
    <w:rsid w:val="00A118D8"/>
    <w:rsid w:val="00A13599"/>
    <w:rsid w:val="00A16036"/>
    <w:rsid w:val="00A16BA9"/>
    <w:rsid w:val="00A20F85"/>
    <w:rsid w:val="00A22499"/>
    <w:rsid w:val="00A22BDA"/>
    <w:rsid w:val="00A23CDF"/>
    <w:rsid w:val="00A248C1"/>
    <w:rsid w:val="00A24AD2"/>
    <w:rsid w:val="00A259E1"/>
    <w:rsid w:val="00A26DC6"/>
    <w:rsid w:val="00A307E9"/>
    <w:rsid w:val="00A30F1F"/>
    <w:rsid w:val="00A31706"/>
    <w:rsid w:val="00A32606"/>
    <w:rsid w:val="00A329BF"/>
    <w:rsid w:val="00A330FA"/>
    <w:rsid w:val="00A33EC9"/>
    <w:rsid w:val="00A36A11"/>
    <w:rsid w:val="00A44AA8"/>
    <w:rsid w:val="00A46DE1"/>
    <w:rsid w:val="00A514F0"/>
    <w:rsid w:val="00A51BA1"/>
    <w:rsid w:val="00A51D3D"/>
    <w:rsid w:val="00A534E5"/>
    <w:rsid w:val="00A61EDD"/>
    <w:rsid w:val="00A637C6"/>
    <w:rsid w:val="00A67AE6"/>
    <w:rsid w:val="00A67D0C"/>
    <w:rsid w:val="00A704EB"/>
    <w:rsid w:val="00A73B1D"/>
    <w:rsid w:val="00A75603"/>
    <w:rsid w:val="00A76153"/>
    <w:rsid w:val="00A77CC6"/>
    <w:rsid w:val="00A808D4"/>
    <w:rsid w:val="00A831BA"/>
    <w:rsid w:val="00A8583D"/>
    <w:rsid w:val="00A85C98"/>
    <w:rsid w:val="00A9105A"/>
    <w:rsid w:val="00A91067"/>
    <w:rsid w:val="00A93193"/>
    <w:rsid w:val="00A94612"/>
    <w:rsid w:val="00A96055"/>
    <w:rsid w:val="00AA2468"/>
    <w:rsid w:val="00AA5AA7"/>
    <w:rsid w:val="00AA686F"/>
    <w:rsid w:val="00AB0043"/>
    <w:rsid w:val="00AB0366"/>
    <w:rsid w:val="00AB0F05"/>
    <w:rsid w:val="00AB4987"/>
    <w:rsid w:val="00AB5315"/>
    <w:rsid w:val="00AC1E95"/>
    <w:rsid w:val="00AC4132"/>
    <w:rsid w:val="00AC59EC"/>
    <w:rsid w:val="00AD2AE7"/>
    <w:rsid w:val="00AD33B4"/>
    <w:rsid w:val="00AD4EFC"/>
    <w:rsid w:val="00AD67F6"/>
    <w:rsid w:val="00AE56AD"/>
    <w:rsid w:val="00AE750B"/>
    <w:rsid w:val="00AF4D8C"/>
    <w:rsid w:val="00B01AC7"/>
    <w:rsid w:val="00B01BFF"/>
    <w:rsid w:val="00B04787"/>
    <w:rsid w:val="00B068C4"/>
    <w:rsid w:val="00B06D3D"/>
    <w:rsid w:val="00B101CC"/>
    <w:rsid w:val="00B125D2"/>
    <w:rsid w:val="00B12D07"/>
    <w:rsid w:val="00B12D74"/>
    <w:rsid w:val="00B15EBD"/>
    <w:rsid w:val="00B224FE"/>
    <w:rsid w:val="00B25346"/>
    <w:rsid w:val="00B25E1D"/>
    <w:rsid w:val="00B3084C"/>
    <w:rsid w:val="00B34D60"/>
    <w:rsid w:val="00B35C8E"/>
    <w:rsid w:val="00B36E8D"/>
    <w:rsid w:val="00B40C16"/>
    <w:rsid w:val="00B44359"/>
    <w:rsid w:val="00B515E8"/>
    <w:rsid w:val="00B52797"/>
    <w:rsid w:val="00B52F79"/>
    <w:rsid w:val="00B55AB3"/>
    <w:rsid w:val="00B57ED7"/>
    <w:rsid w:val="00B6420E"/>
    <w:rsid w:val="00B64BB6"/>
    <w:rsid w:val="00B650E5"/>
    <w:rsid w:val="00B7076B"/>
    <w:rsid w:val="00B73828"/>
    <w:rsid w:val="00B74A46"/>
    <w:rsid w:val="00B77A7A"/>
    <w:rsid w:val="00B80D6C"/>
    <w:rsid w:val="00B825D9"/>
    <w:rsid w:val="00B82A58"/>
    <w:rsid w:val="00B84C85"/>
    <w:rsid w:val="00B90E5D"/>
    <w:rsid w:val="00B9184B"/>
    <w:rsid w:val="00B91E74"/>
    <w:rsid w:val="00B9236D"/>
    <w:rsid w:val="00B96003"/>
    <w:rsid w:val="00B97EE6"/>
    <w:rsid w:val="00BA09A5"/>
    <w:rsid w:val="00BA23D9"/>
    <w:rsid w:val="00BA3AD0"/>
    <w:rsid w:val="00BA3F82"/>
    <w:rsid w:val="00BA69D3"/>
    <w:rsid w:val="00BA73DB"/>
    <w:rsid w:val="00BB129A"/>
    <w:rsid w:val="00BB16A3"/>
    <w:rsid w:val="00BB61E1"/>
    <w:rsid w:val="00BB714C"/>
    <w:rsid w:val="00BC2289"/>
    <w:rsid w:val="00BC5F74"/>
    <w:rsid w:val="00BC77F1"/>
    <w:rsid w:val="00BD370A"/>
    <w:rsid w:val="00BE121E"/>
    <w:rsid w:val="00BE3579"/>
    <w:rsid w:val="00BE478B"/>
    <w:rsid w:val="00BE64E6"/>
    <w:rsid w:val="00BF153A"/>
    <w:rsid w:val="00BF2047"/>
    <w:rsid w:val="00BF71AC"/>
    <w:rsid w:val="00C008B1"/>
    <w:rsid w:val="00C015E2"/>
    <w:rsid w:val="00C019E8"/>
    <w:rsid w:val="00C01C41"/>
    <w:rsid w:val="00C01C4D"/>
    <w:rsid w:val="00C10772"/>
    <w:rsid w:val="00C11098"/>
    <w:rsid w:val="00C15F59"/>
    <w:rsid w:val="00C16692"/>
    <w:rsid w:val="00C226C9"/>
    <w:rsid w:val="00C258C7"/>
    <w:rsid w:val="00C25973"/>
    <w:rsid w:val="00C25D77"/>
    <w:rsid w:val="00C26D88"/>
    <w:rsid w:val="00C3082A"/>
    <w:rsid w:val="00C33B83"/>
    <w:rsid w:val="00C404AB"/>
    <w:rsid w:val="00C42AFB"/>
    <w:rsid w:val="00C43978"/>
    <w:rsid w:val="00C456D1"/>
    <w:rsid w:val="00C45FD6"/>
    <w:rsid w:val="00C51A7D"/>
    <w:rsid w:val="00C5308F"/>
    <w:rsid w:val="00C6079C"/>
    <w:rsid w:val="00C60D71"/>
    <w:rsid w:val="00C6165F"/>
    <w:rsid w:val="00C620A4"/>
    <w:rsid w:val="00C65B6A"/>
    <w:rsid w:val="00C7096C"/>
    <w:rsid w:val="00C71BD5"/>
    <w:rsid w:val="00C757F3"/>
    <w:rsid w:val="00C75E24"/>
    <w:rsid w:val="00C77BCF"/>
    <w:rsid w:val="00C809DD"/>
    <w:rsid w:val="00C81683"/>
    <w:rsid w:val="00C8215A"/>
    <w:rsid w:val="00C821B4"/>
    <w:rsid w:val="00C82AF7"/>
    <w:rsid w:val="00C85C81"/>
    <w:rsid w:val="00C90B74"/>
    <w:rsid w:val="00C922AE"/>
    <w:rsid w:val="00C92A7D"/>
    <w:rsid w:val="00C94941"/>
    <w:rsid w:val="00C94BF9"/>
    <w:rsid w:val="00C95422"/>
    <w:rsid w:val="00C95EF4"/>
    <w:rsid w:val="00CA0689"/>
    <w:rsid w:val="00CA07EE"/>
    <w:rsid w:val="00CA1E9A"/>
    <w:rsid w:val="00CA2550"/>
    <w:rsid w:val="00CA361C"/>
    <w:rsid w:val="00CA5241"/>
    <w:rsid w:val="00CA6549"/>
    <w:rsid w:val="00CA7646"/>
    <w:rsid w:val="00CA7A1A"/>
    <w:rsid w:val="00CA7F8F"/>
    <w:rsid w:val="00CB0137"/>
    <w:rsid w:val="00CB12C4"/>
    <w:rsid w:val="00CB4B44"/>
    <w:rsid w:val="00CB718D"/>
    <w:rsid w:val="00CC0503"/>
    <w:rsid w:val="00CC1860"/>
    <w:rsid w:val="00CC2E19"/>
    <w:rsid w:val="00CC2EAA"/>
    <w:rsid w:val="00CC5B86"/>
    <w:rsid w:val="00CC618A"/>
    <w:rsid w:val="00CC6C92"/>
    <w:rsid w:val="00CC6E4C"/>
    <w:rsid w:val="00CC7D43"/>
    <w:rsid w:val="00CD5F08"/>
    <w:rsid w:val="00CD6AB9"/>
    <w:rsid w:val="00CD708F"/>
    <w:rsid w:val="00CD70BA"/>
    <w:rsid w:val="00CE09E2"/>
    <w:rsid w:val="00CE12BF"/>
    <w:rsid w:val="00CE147D"/>
    <w:rsid w:val="00CE1A09"/>
    <w:rsid w:val="00CE2635"/>
    <w:rsid w:val="00CE376F"/>
    <w:rsid w:val="00CE4CEA"/>
    <w:rsid w:val="00CE4E7B"/>
    <w:rsid w:val="00CE7A6A"/>
    <w:rsid w:val="00CF0DE4"/>
    <w:rsid w:val="00CF1895"/>
    <w:rsid w:val="00CF1B89"/>
    <w:rsid w:val="00CF312E"/>
    <w:rsid w:val="00CF4466"/>
    <w:rsid w:val="00CF5E29"/>
    <w:rsid w:val="00D019E9"/>
    <w:rsid w:val="00D0354F"/>
    <w:rsid w:val="00D049C5"/>
    <w:rsid w:val="00D04B4E"/>
    <w:rsid w:val="00D107E4"/>
    <w:rsid w:val="00D10FCA"/>
    <w:rsid w:val="00D12018"/>
    <w:rsid w:val="00D146D5"/>
    <w:rsid w:val="00D152AA"/>
    <w:rsid w:val="00D212D9"/>
    <w:rsid w:val="00D2353C"/>
    <w:rsid w:val="00D26C9B"/>
    <w:rsid w:val="00D26DBE"/>
    <w:rsid w:val="00D27E01"/>
    <w:rsid w:val="00D3057A"/>
    <w:rsid w:val="00D34293"/>
    <w:rsid w:val="00D3434D"/>
    <w:rsid w:val="00D4484E"/>
    <w:rsid w:val="00D47F9F"/>
    <w:rsid w:val="00D5153A"/>
    <w:rsid w:val="00D5213B"/>
    <w:rsid w:val="00D526C7"/>
    <w:rsid w:val="00D55805"/>
    <w:rsid w:val="00D5678C"/>
    <w:rsid w:val="00D6070C"/>
    <w:rsid w:val="00D6185B"/>
    <w:rsid w:val="00D61ACF"/>
    <w:rsid w:val="00D722C8"/>
    <w:rsid w:val="00D745D8"/>
    <w:rsid w:val="00D769C4"/>
    <w:rsid w:val="00D76D9C"/>
    <w:rsid w:val="00D77F12"/>
    <w:rsid w:val="00D837CD"/>
    <w:rsid w:val="00D8424F"/>
    <w:rsid w:val="00D84E13"/>
    <w:rsid w:val="00D90522"/>
    <w:rsid w:val="00D9288B"/>
    <w:rsid w:val="00D928DC"/>
    <w:rsid w:val="00D92ADF"/>
    <w:rsid w:val="00D94A2B"/>
    <w:rsid w:val="00D958BF"/>
    <w:rsid w:val="00DA00A7"/>
    <w:rsid w:val="00DA25A7"/>
    <w:rsid w:val="00DA3F93"/>
    <w:rsid w:val="00DA5B2A"/>
    <w:rsid w:val="00DA7476"/>
    <w:rsid w:val="00DC165A"/>
    <w:rsid w:val="00DC2267"/>
    <w:rsid w:val="00DC2B8F"/>
    <w:rsid w:val="00DC6230"/>
    <w:rsid w:val="00DC76D2"/>
    <w:rsid w:val="00DC7BC3"/>
    <w:rsid w:val="00DD15FA"/>
    <w:rsid w:val="00DD3C30"/>
    <w:rsid w:val="00DD7101"/>
    <w:rsid w:val="00DE0FFF"/>
    <w:rsid w:val="00DE370A"/>
    <w:rsid w:val="00DE45C7"/>
    <w:rsid w:val="00DE5D7B"/>
    <w:rsid w:val="00DE6D53"/>
    <w:rsid w:val="00DE7C3E"/>
    <w:rsid w:val="00DF03F2"/>
    <w:rsid w:val="00DF0716"/>
    <w:rsid w:val="00DF0C43"/>
    <w:rsid w:val="00DF0CCC"/>
    <w:rsid w:val="00DF3292"/>
    <w:rsid w:val="00DF33BC"/>
    <w:rsid w:val="00E02C29"/>
    <w:rsid w:val="00E043E9"/>
    <w:rsid w:val="00E064E4"/>
    <w:rsid w:val="00E11EDE"/>
    <w:rsid w:val="00E13216"/>
    <w:rsid w:val="00E133F5"/>
    <w:rsid w:val="00E16A38"/>
    <w:rsid w:val="00E16BD7"/>
    <w:rsid w:val="00E25FEA"/>
    <w:rsid w:val="00E3364F"/>
    <w:rsid w:val="00E33A2D"/>
    <w:rsid w:val="00E34098"/>
    <w:rsid w:val="00E401D9"/>
    <w:rsid w:val="00E42261"/>
    <w:rsid w:val="00E42449"/>
    <w:rsid w:val="00E4596E"/>
    <w:rsid w:val="00E46081"/>
    <w:rsid w:val="00E4792A"/>
    <w:rsid w:val="00E5576A"/>
    <w:rsid w:val="00E63519"/>
    <w:rsid w:val="00E6439D"/>
    <w:rsid w:val="00E70745"/>
    <w:rsid w:val="00E752F0"/>
    <w:rsid w:val="00E76D5C"/>
    <w:rsid w:val="00E77CFE"/>
    <w:rsid w:val="00E77D7A"/>
    <w:rsid w:val="00E8156B"/>
    <w:rsid w:val="00E81C16"/>
    <w:rsid w:val="00E85DBD"/>
    <w:rsid w:val="00E86588"/>
    <w:rsid w:val="00E9287C"/>
    <w:rsid w:val="00E9599A"/>
    <w:rsid w:val="00E96B59"/>
    <w:rsid w:val="00EA36CF"/>
    <w:rsid w:val="00EA38E7"/>
    <w:rsid w:val="00EA39B0"/>
    <w:rsid w:val="00EA4B94"/>
    <w:rsid w:val="00EA5D42"/>
    <w:rsid w:val="00EB0081"/>
    <w:rsid w:val="00EB07A1"/>
    <w:rsid w:val="00EB1254"/>
    <w:rsid w:val="00EB19DF"/>
    <w:rsid w:val="00EB7F59"/>
    <w:rsid w:val="00EC39AF"/>
    <w:rsid w:val="00EC441E"/>
    <w:rsid w:val="00EC6537"/>
    <w:rsid w:val="00EC66F3"/>
    <w:rsid w:val="00ED2C0A"/>
    <w:rsid w:val="00ED54CE"/>
    <w:rsid w:val="00ED5E05"/>
    <w:rsid w:val="00EE0EFC"/>
    <w:rsid w:val="00EE0F89"/>
    <w:rsid w:val="00EE1ABF"/>
    <w:rsid w:val="00EE4353"/>
    <w:rsid w:val="00EE437D"/>
    <w:rsid w:val="00EE5F94"/>
    <w:rsid w:val="00EE7C1B"/>
    <w:rsid w:val="00EF0639"/>
    <w:rsid w:val="00EF6281"/>
    <w:rsid w:val="00EF7B38"/>
    <w:rsid w:val="00F00630"/>
    <w:rsid w:val="00F13267"/>
    <w:rsid w:val="00F15069"/>
    <w:rsid w:val="00F24772"/>
    <w:rsid w:val="00F2653F"/>
    <w:rsid w:val="00F31171"/>
    <w:rsid w:val="00F321A5"/>
    <w:rsid w:val="00F36665"/>
    <w:rsid w:val="00F427C9"/>
    <w:rsid w:val="00F46886"/>
    <w:rsid w:val="00F54DA5"/>
    <w:rsid w:val="00F54E32"/>
    <w:rsid w:val="00F571CF"/>
    <w:rsid w:val="00F57695"/>
    <w:rsid w:val="00F600B5"/>
    <w:rsid w:val="00F60166"/>
    <w:rsid w:val="00F60724"/>
    <w:rsid w:val="00F655B8"/>
    <w:rsid w:val="00F664FF"/>
    <w:rsid w:val="00F6723E"/>
    <w:rsid w:val="00F74FB1"/>
    <w:rsid w:val="00F75E7F"/>
    <w:rsid w:val="00F83A16"/>
    <w:rsid w:val="00F8491A"/>
    <w:rsid w:val="00F85AA5"/>
    <w:rsid w:val="00F9450F"/>
    <w:rsid w:val="00F95CB5"/>
    <w:rsid w:val="00FA15EB"/>
    <w:rsid w:val="00FA3570"/>
    <w:rsid w:val="00FA3B23"/>
    <w:rsid w:val="00FA4B51"/>
    <w:rsid w:val="00FA6227"/>
    <w:rsid w:val="00FA70D3"/>
    <w:rsid w:val="00FB3ECB"/>
    <w:rsid w:val="00FB4361"/>
    <w:rsid w:val="00FB4C4E"/>
    <w:rsid w:val="00FB7528"/>
    <w:rsid w:val="00FC020A"/>
    <w:rsid w:val="00FC55F7"/>
    <w:rsid w:val="00FC669F"/>
    <w:rsid w:val="00FC7398"/>
    <w:rsid w:val="00FD09C0"/>
    <w:rsid w:val="00FE01D1"/>
    <w:rsid w:val="00FE06BC"/>
    <w:rsid w:val="00FE113C"/>
    <w:rsid w:val="00FF0167"/>
    <w:rsid w:val="00FF277E"/>
    <w:rsid w:val="00FF3BFE"/>
    <w:rsid w:val="00FF41C5"/>
    <w:rsid w:val="00FF5C84"/>
    <w:rsid w:val="00FF5E3B"/>
    <w:rsid w:val="00FF62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C73"/>
    <w:rPr>
      <w:sz w:val="24"/>
      <w:szCs w:val="24"/>
    </w:rPr>
  </w:style>
  <w:style w:type="paragraph" w:styleId="Heading1">
    <w:name w:val="heading 1"/>
    <w:basedOn w:val="Normal"/>
    <w:next w:val="Normal"/>
    <w:qFormat/>
    <w:rsid w:val="004F3C73"/>
    <w:pPr>
      <w:keepNext/>
      <w:ind w:left="-30" w:right="-30"/>
      <w:outlineLvl w:val="0"/>
    </w:pPr>
    <w:rPr>
      <w:b/>
      <w:bCs/>
      <w:snapToGrid w:val="0"/>
      <w:color w:val="000000"/>
    </w:rPr>
  </w:style>
  <w:style w:type="paragraph" w:styleId="Heading2">
    <w:name w:val="heading 2"/>
    <w:basedOn w:val="Normal"/>
    <w:next w:val="Normal"/>
    <w:qFormat/>
    <w:rsid w:val="004F3C73"/>
    <w:pPr>
      <w:keepNext/>
      <w:tabs>
        <w:tab w:val="decimal" w:pos="1152"/>
      </w:tabs>
      <w:jc w:val="both"/>
      <w:outlineLvl w:val="1"/>
    </w:pPr>
    <w:rPr>
      <w:b/>
    </w:rPr>
  </w:style>
  <w:style w:type="paragraph" w:styleId="Heading3">
    <w:name w:val="heading 3"/>
    <w:basedOn w:val="Normal"/>
    <w:next w:val="Normal"/>
    <w:qFormat/>
    <w:rsid w:val="004F3C73"/>
    <w:pPr>
      <w:keepNext/>
      <w:tabs>
        <w:tab w:val="left" w:pos="1650"/>
      </w:tabs>
      <w:ind w:right="150"/>
      <w:jc w:val="right"/>
      <w:outlineLvl w:val="2"/>
    </w:pPr>
    <w:rPr>
      <w:b/>
      <w:snapToGrid w:val="0"/>
      <w:color w:val="000000"/>
    </w:rPr>
  </w:style>
  <w:style w:type="paragraph" w:styleId="Heading4">
    <w:name w:val="heading 4"/>
    <w:basedOn w:val="Normal"/>
    <w:next w:val="Normal"/>
    <w:qFormat/>
    <w:rsid w:val="004F3C73"/>
    <w:pPr>
      <w:keepNext/>
      <w:tabs>
        <w:tab w:val="decimal" w:pos="1509"/>
      </w:tabs>
      <w:ind w:right="-108"/>
      <w:outlineLvl w:val="3"/>
    </w:pPr>
    <w:rPr>
      <w:b/>
    </w:rPr>
  </w:style>
  <w:style w:type="paragraph" w:styleId="Heading5">
    <w:name w:val="heading 5"/>
    <w:basedOn w:val="Normal"/>
    <w:next w:val="Normal"/>
    <w:qFormat/>
    <w:rsid w:val="004F3C73"/>
    <w:pPr>
      <w:keepNext/>
      <w:tabs>
        <w:tab w:val="decimal" w:pos="1152"/>
      </w:tabs>
      <w:outlineLvl w:val="4"/>
    </w:pPr>
    <w:rPr>
      <w:b/>
    </w:rPr>
  </w:style>
  <w:style w:type="paragraph" w:styleId="Heading6">
    <w:name w:val="heading 6"/>
    <w:basedOn w:val="Normal"/>
    <w:next w:val="Normal"/>
    <w:qFormat/>
    <w:rsid w:val="004F3C73"/>
    <w:pPr>
      <w:keepNext/>
      <w:outlineLvl w:val="5"/>
    </w:pPr>
    <w:rPr>
      <w:b/>
      <w:sz w:val="20"/>
      <w:szCs w:val="20"/>
      <w:lang w:val="en-GB"/>
    </w:rPr>
  </w:style>
  <w:style w:type="paragraph" w:styleId="Heading7">
    <w:name w:val="heading 7"/>
    <w:basedOn w:val="Normal"/>
    <w:next w:val="Normal"/>
    <w:qFormat/>
    <w:rsid w:val="004F3C73"/>
    <w:pPr>
      <w:keepNext/>
      <w:jc w:val="center"/>
      <w:outlineLvl w:val="6"/>
    </w:pPr>
    <w:rPr>
      <w:b/>
      <w:sz w:val="18"/>
      <w:szCs w:val="20"/>
      <w:lang w:val="en-GB"/>
    </w:rPr>
  </w:style>
  <w:style w:type="paragraph" w:styleId="Heading8">
    <w:name w:val="heading 8"/>
    <w:basedOn w:val="Normal"/>
    <w:next w:val="Normal"/>
    <w:qFormat/>
    <w:rsid w:val="004F3C73"/>
    <w:pPr>
      <w:keepNext/>
      <w:ind w:left="1080" w:hanging="1080"/>
      <w:outlineLvl w:val="7"/>
    </w:pPr>
    <w:rPr>
      <w:b/>
    </w:rPr>
  </w:style>
  <w:style w:type="paragraph" w:styleId="Heading9">
    <w:name w:val="heading 9"/>
    <w:basedOn w:val="Normal"/>
    <w:next w:val="Normal"/>
    <w:qFormat/>
    <w:rsid w:val="004F3C73"/>
    <w:pPr>
      <w:keepNext/>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4F3C73"/>
    <w:pPr>
      <w:jc w:val="center"/>
    </w:pPr>
    <w:rPr>
      <w:b/>
      <w:sz w:val="18"/>
      <w:szCs w:val="20"/>
      <w:lang w:val="en-GB"/>
    </w:rPr>
  </w:style>
  <w:style w:type="paragraph" w:styleId="Title">
    <w:name w:val="Title"/>
    <w:basedOn w:val="Normal"/>
    <w:qFormat/>
    <w:rsid w:val="004F3C73"/>
    <w:pPr>
      <w:tabs>
        <w:tab w:val="left" w:pos="1134"/>
      </w:tabs>
      <w:spacing w:line="280" w:lineRule="atLeast"/>
      <w:jc w:val="center"/>
    </w:pPr>
    <w:rPr>
      <w:b/>
      <w:sz w:val="28"/>
      <w:szCs w:val="20"/>
      <w:u w:val="single"/>
    </w:rPr>
  </w:style>
  <w:style w:type="paragraph" w:styleId="BodyTextIndent3">
    <w:name w:val="Body Text Indent 3"/>
    <w:basedOn w:val="Normal"/>
    <w:semiHidden/>
    <w:rsid w:val="004F3C73"/>
    <w:pPr>
      <w:ind w:left="709"/>
    </w:pPr>
    <w:rPr>
      <w:rFonts w:ascii="Book Antiqua" w:hAnsi="Book Antiqua"/>
      <w:sz w:val="22"/>
      <w:szCs w:val="20"/>
      <w:lang w:val="en-GB"/>
    </w:rPr>
  </w:style>
  <w:style w:type="paragraph" w:styleId="BodyTextIndent">
    <w:name w:val="Body Text Indent"/>
    <w:basedOn w:val="Normal"/>
    <w:semiHidden/>
    <w:rsid w:val="004F3C73"/>
    <w:pPr>
      <w:ind w:left="720" w:hanging="720"/>
    </w:pPr>
    <w:rPr>
      <w:sz w:val="20"/>
      <w:szCs w:val="20"/>
      <w:lang w:val="en-GB"/>
    </w:rPr>
  </w:style>
  <w:style w:type="paragraph" w:styleId="BodyTextIndent2">
    <w:name w:val="Body Text Indent 2"/>
    <w:basedOn w:val="Normal"/>
    <w:semiHidden/>
    <w:rsid w:val="004F3C73"/>
    <w:pPr>
      <w:ind w:left="720" w:hanging="720"/>
    </w:pPr>
    <w:rPr>
      <w:rFonts w:ascii="Book Antiqua" w:hAnsi="Book Antiqua"/>
      <w:sz w:val="22"/>
      <w:szCs w:val="20"/>
      <w:lang w:val="en-GB"/>
    </w:rPr>
  </w:style>
  <w:style w:type="character" w:styleId="PageNumber">
    <w:name w:val="page number"/>
    <w:basedOn w:val="DefaultParagraphFont"/>
    <w:semiHidden/>
    <w:rsid w:val="004F3C73"/>
  </w:style>
  <w:style w:type="paragraph" w:styleId="Footer">
    <w:name w:val="footer"/>
    <w:basedOn w:val="Normal"/>
    <w:semiHidden/>
    <w:rsid w:val="004F3C73"/>
    <w:pPr>
      <w:tabs>
        <w:tab w:val="center" w:pos="4320"/>
        <w:tab w:val="right" w:pos="8640"/>
      </w:tabs>
    </w:pPr>
    <w:rPr>
      <w:sz w:val="20"/>
      <w:szCs w:val="20"/>
      <w:lang w:val="en-GB"/>
    </w:rPr>
  </w:style>
  <w:style w:type="paragraph" w:styleId="BodyText">
    <w:name w:val="Body Text"/>
    <w:basedOn w:val="Normal"/>
    <w:semiHidden/>
    <w:rsid w:val="004F3C73"/>
    <w:pPr>
      <w:jc w:val="both"/>
    </w:pPr>
  </w:style>
  <w:style w:type="paragraph" w:styleId="Header">
    <w:name w:val="header"/>
    <w:basedOn w:val="Normal"/>
    <w:semiHidden/>
    <w:rsid w:val="004F3C73"/>
    <w:pPr>
      <w:tabs>
        <w:tab w:val="center" w:pos="4320"/>
        <w:tab w:val="right" w:pos="8640"/>
      </w:tabs>
    </w:pPr>
  </w:style>
  <w:style w:type="paragraph" w:styleId="BlockText">
    <w:name w:val="Block Text"/>
    <w:basedOn w:val="Normal"/>
    <w:semiHidden/>
    <w:rsid w:val="004F3C73"/>
    <w:pPr>
      <w:ind w:left="-540" w:right="-86"/>
      <w:jc w:val="both"/>
    </w:pPr>
  </w:style>
  <w:style w:type="paragraph" w:styleId="BodyText2">
    <w:name w:val="Body Text 2"/>
    <w:basedOn w:val="Normal"/>
    <w:semiHidden/>
    <w:rsid w:val="004F3C73"/>
    <w:pPr>
      <w:jc w:val="right"/>
    </w:pPr>
    <w:rPr>
      <w:lang w:val="en-GB"/>
    </w:rPr>
  </w:style>
  <w:style w:type="paragraph" w:styleId="ListParagraph">
    <w:name w:val="List Paragraph"/>
    <w:basedOn w:val="Normal"/>
    <w:uiPriority w:val="34"/>
    <w:qFormat/>
    <w:rsid w:val="00845C58"/>
    <w:pPr>
      <w:ind w:left="720"/>
    </w:pPr>
  </w:style>
  <w:style w:type="table" w:styleId="TableGrid">
    <w:name w:val="Table Grid"/>
    <w:basedOn w:val="TableNormal"/>
    <w:uiPriority w:val="59"/>
    <w:rsid w:val="00332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3325F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3325F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325F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325F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325F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LineNumber">
    <w:name w:val="line number"/>
    <w:basedOn w:val="DefaultParagraphFont"/>
    <w:uiPriority w:val="99"/>
    <w:semiHidden/>
    <w:unhideWhenUsed/>
    <w:rsid w:val="00517955"/>
  </w:style>
  <w:style w:type="paragraph" w:styleId="DocumentMap">
    <w:name w:val="Document Map"/>
    <w:basedOn w:val="Normal"/>
    <w:link w:val="DocumentMapChar"/>
    <w:uiPriority w:val="99"/>
    <w:semiHidden/>
    <w:unhideWhenUsed/>
    <w:rsid w:val="00A46DE1"/>
    <w:rPr>
      <w:rFonts w:ascii="Tahoma" w:hAnsi="Tahoma"/>
      <w:sz w:val="16"/>
      <w:szCs w:val="16"/>
    </w:rPr>
  </w:style>
  <w:style w:type="character" w:customStyle="1" w:styleId="DocumentMapChar">
    <w:name w:val="Document Map Char"/>
    <w:link w:val="DocumentMap"/>
    <w:uiPriority w:val="99"/>
    <w:semiHidden/>
    <w:rsid w:val="00A46DE1"/>
    <w:rPr>
      <w:rFonts w:ascii="Tahoma" w:hAnsi="Tahoma" w:cs="Tahoma"/>
      <w:sz w:val="16"/>
      <w:szCs w:val="16"/>
    </w:rPr>
  </w:style>
  <w:style w:type="paragraph" w:styleId="BalloonText">
    <w:name w:val="Balloon Text"/>
    <w:basedOn w:val="Normal"/>
    <w:link w:val="BalloonTextChar"/>
    <w:uiPriority w:val="99"/>
    <w:semiHidden/>
    <w:unhideWhenUsed/>
    <w:rsid w:val="00C60D71"/>
    <w:rPr>
      <w:rFonts w:ascii="Tahoma" w:hAnsi="Tahoma" w:cs="Tahoma"/>
      <w:sz w:val="16"/>
      <w:szCs w:val="16"/>
    </w:rPr>
  </w:style>
  <w:style w:type="character" w:customStyle="1" w:styleId="BalloonTextChar">
    <w:name w:val="Balloon Text Char"/>
    <w:basedOn w:val="DefaultParagraphFont"/>
    <w:link w:val="BalloonText"/>
    <w:uiPriority w:val="99"/>
    <w:semiHidden/>
    <w:rsid w:val="00C60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30" w:right="-30"/>
      <w:outlineLvl w:val="0"/>
    </w:pPr>
    <w:rPr>
      <w:b/>
      <w:bCs/>
      <w:snapToGrid w:val="0"/>
      <w:color w:val="000000"/>
    </w:rPr>
  </w:style>
  <w:style w:type="paragraph" w:styleId="Heading2">
    <w:name w:val="heading 2"/>
    <w:basedOn w:val="Normal"/>
    <w:next w:val="Normal"/>
    <w:qFormat/>
    <w:pPr>
      <w:keepNext/>
      <w:tabs>
        <w:tab w:val="decimal" w:pos="1152"/>
      </w:tabs>
      <w:jc w:val="both"/>
      <w:outlineLvl w:val="1"/>
    </w:pPr>
    <w:rPr>
      <w:b/>
    </w:rPr>
  </w:style>
  <w:style w:type="paragraph" w:styleId="Heading3">
    <w:name w:val="heading 3"/>
    <w:basedOn w:val="Normal"/>
    <w:next w:val="Normal"/>
    <w:qFormat/>
    <w:pPr>
      <w:keepNext/>
      <w:tabs>
        <w:tab w:val="left" w:pos="1650"/>
      </w:tabs>
      <w:ind w:right="150"/>
      <w:jc w:val="right"/>
      <w:outlineLvl w:val="2"/>
    </w:pPr>
    <w:rPr>
      <w:b/>
      <w:snapToGrid w:val="0"/>
      <w:color w:val="000000"/>
    </w:rPr>
  </w:style>
  <w:style w:type="paragraph" w:styleId="Heading4">
    <w:name w:val="heading 4"/>
    <w:basedOn w:val="Normal"/>
    <w:next w:val="Normal"/>
    <w:qFormat/>
    <w:pPr>
      <w:keepNext/>
      <w:tabs>
        <w:tab w:val="decimal" w:pos="1509"/>
      </w:tabs>
      <w:ind w:right="-108"/>
      <w:outlineLvl w:val="3"/>
    </w:pPr>
    <w:rPr>
      <w:b/>
    </w:rPr>
  </w:style>
  <w:style w:type="paragraph" w:styleId="Heading5">
    <w:name w:val="heading 5"/>
    <w:basedOn w:val="Normal"/>
    <w:next w:val="Normal"/>
    <w:qFormat/>
    <w:pPr>
      <w:keepNext/>
      <w:tabs>
        <w:tab w:val="decimal" w:pos="1152"/>
      </w:tabs>
      <w:outlineLvl w:val="4"/>
    </w:pPr>
    <w:rPr>
      <w:b/>
    </w:rPr>
  </w:style>
  <w:style w:type="paragraph" w:styleId="Heading6">
    <w:name w:val="heading 6"/>
    <w:basedOn w:val="Normal"/>
    <w:next w:val="Normal"/>
    <w:qFormat/>
    <w:pPr>
      <w:keepNext/>
      <w:outlineLvl w:val="5"/>
    </w:pPr>
    <w:rPr>
      <w:b/>
      <w:sz w:val="20"/>
      <w:szCs w:val="20"/>
      <w:lang w:val="en-GB"/>
    </w:rPr>
  </w:style>
  <w:style w:type="paragraph" w:styleId="Heading7">
    <w:name w:val="heading 7"/>
    <w:basedOn w:val="Normal"/>
    <w:next w:val="Normal"/>
    <w:qFormat/>
    <w:pPr>
      <w:keepNext/>
      <w:jc w:val="center"/>
      <w:outlineLvl w:val="6"/>
    </w:pPr>
    <w:rPr>
      <w:b/>
      <w:sz w:val="18"/>
      <w:szCs w:val="20"/>
      <w:lang w:val="en-GB"/>
    </w:rPr>
  </w:style>
  <w:style w:type="paragraph" w:styleId="Heading8">
    <w:name w:val="heading 8"/>
    <w:basedOn w:val="Normal"/>
    <w:next w:val="Normal"/>
    <w:qFormat/>
    <w:pPr>
      <w:keepNext/>
      <w:ind w:left="1080" w:hanging="1080"/>
      <w:outlineLvl w:val="7"/>
    </w:pPr>
    <w:rPr>
      <w:b/>
    </w:rPr>
  </w:style>
  <w:style w:type="paragraph" w:styleId="Heading9">
    <w:name w:val="heading 9"/>
    <w:basedOn w:val="Normal"/>
    <w:next w:val="Normal"/>
    <w:qFormat/>
    <w:pPr>
      <w:keepNext/>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center"/>
    </w:pPr>
    <w:rPr>
      <w:b/>
      <w:sz w:val="18"/>
      <w:szCs w:val="20"/>
      <w:lang w:val="en-GB"/>
    </w:rPr>
  </w:style>
  <w:style w:type="paragraph" w:styleId="Title">
    <w:name w:val="Title"/>
    <w:basedOn w:val="Normal"/>
    <w:qFormat/>
    <w:pPr>
      <w:tabs>
        <w:tab w:val="left" w:pos="1134"/>
      </w:tabs>
      <w:spacing w:line="280" w:lineRule="atLeast"/>
      <w:jc w:val="center"/>
    </w:pPr>
    <w:rPr>
      <w:b/>
      <w:sz w:val="28"/>
      <w:szCs w:val="20"/>
      <w:u w:val="single"/>
    </w:rPr>
  </w:style>
  <w:style w:type="paragraph" w:styleId="BodyTextIndent3">
    <w:name w:val="Body Text Indent 3"/>
    <w:basedOn w:val="Normal"/>
    <w:semiHidden/>
    <w:pPr>
      <w:ind w:left="709"/>
    </w:pPr>
    <w:rPr>
      <w:rFonts w:ascii="Book Antiqua" w:hAnsi="Book Antiqua"/>
      <w:sz w:val="22"/>
      <w:szCs w:val="20"/>
      <w:lang w:val="en-GB"/>
    </w:rPr>
  </w:style>
  <w:style w:type="paragraph" w:styleId="BodyTextIndent">
    <w:name w:val="Body Text Indent"/>
    <w:basedOn w:val="Normal"/>
    <w:semiHidden/>
    <w:pPr>
      <w:ind w:left="720" w:hanging="720"/>
    </w:pPr>
    <w:rPr>
      <w:sz w:val="20"/>
      <w:szCs w:val="20"/>
      <w:lang w:val="en-GB"/>
    </w:rPr>
  </w:style>
  <w:style w:type="paragraph" w:styleId="BodyTextIndent2">
    <w:name w:val="Body Text Indent 2"/>
    <w:basedOn w:val="Normal"/>
    <w:semiHidden/>
    <w:pPr>
      <w:ind w:left="720" w:hanging="720"/>
    </w:pPr>
    <w:rPr>
      <w:rFonts w:ascii="Book Antiqua" w:hAnsi="Book Antiqua"/>
      <w:sz w:val="22"/>
      <w:szCs w:val="20"/>
      <w:lang w:val="en-GB"/>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z w:val="20"/>
      <w:szCs w:val="20"/>
      <w:lang w:val="en-GB"/>
    </w:rPr>
  </w:style>
  <w:style w:type="paragraph" w:styleId="BodyText">
    <w:name w:val="Body Text"/>
    <w:basedOn w:val="Normal"/>
    <w:semiHidden/>
    <w:pPr>
      <w:jc w:val="both"/>
    </w:pPr>
  </w:style>
  <w:style w:type="paragraph" w:styleId="Header">
    <w:name w:val="header"/>
    <w:basedOn w:val="Normal"/>
    <w:semiHidden/>
    <w:pPr>
      <w:tabs>
        <w:tab w:val="center" w:pos="4320"/>
        <w:tab w:val="right" w:pos="8640"/>
      </w:tabs>
    </w:pPr>
  </w:style>
  <w:style w:type="paragraph" w:styleId="BlockText">
    <w:name w:val="Block Text"/>
    <w:basedOn w:val="Normal"/>
    <w:semiHidden/>
    <w:pPr>
      <w:ind w:left="-540" w:right="-86"/>
      <w:jc w:val="both"/>
    </w:pPr>
  </w:style>
  <w:style w:type="paragraph" w:styleId="BodyText2">
    <w:name w:val="Body Text 2"/>
    <w:basedOn w:val="Normal"/>
    <w:semiHidden/>
    <w:pPr>
      <w:jc w:val="right"/>
    </w:pPr>
    <w:rPr>
      <w:lang w:val="en-GB"/>
    </w:rPr>
  </w:style>
  <w:style w:type="paragraph" w:styleId="ListParagraph">
    <w:name w:val="List Paragraph"/>
    <w:basedOn w:val="Normal"/>
    <w:uiPriority w:val="34"/>
    <w:qFormat/>
    <w:rsid w:val="00845C58"/>
    <w:pPr>
      <w:ind w:left="720"/>
    </w:pPr>
  </w:style>
  <w:style w:type="table" w:styleId="TableGrid">
    <w:name w:val="Table Grid"/>
    <w:basedOn w:val="TableNormal"/>
    <w:uiPriority w:val="59"/>
    <w:rsid w:val="00332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3325F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3325F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325F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325F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325F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LineNumber">
    <w:name w:val="line number"/>
    <w:basedOn w:val="DefaultParagraphFont"/>
    <w:uiPriority w:val="99"/>
    <w:semiHidden/>
    <w:unhideWhenUsed/>
    <w:rsid w:val="00517955"/>
  </w:style>
  <w:style w:type="paragraph" w:styleId="DocumentMap">
    <w:name w:val="Document Map"/>
    <w:basedOn w:val="Normal"/>
    <w:link w:val="DocumentMapChar"/>
    <w:uiPriority w:val="99"/>
    <w:semiHidden/>
    <w:unhideWhenUsed/>
    <w:rsid w:val="00A46DE1"/>
    <w:rPr>
      <w:rFonts w:ascii="Tahoma" w:hAnsi="Tahoma"/>
      <w:sz w:val="16"/>
      <w:szCs w:val="16"/>
      <w:lang w:val="x-none" w:eastAsia="x-none"/>
    </w:rPr>
  </w:style>
  <w:style w:type="character" w:customStyle="1" w:styleId="DocumentMapChar">
    <w:name w:val="Document Map Char"/>
    <w:link w:val="DocumentMap"/>
    <w:uiPriority w:val="99"/>
    <w:semiHidden/>
    <w:rsid w:val="00A46DE1"/>
    <w:rPr>
      <w:rFonts w:ascii="Tahoma" w:hAnsi="Tahoma" w:cs="Tahoma"/>
      <w:sz w:val="16"/>
      <w:szCs w:val="16"/>
    </w:rPr>
  </w:style>
  <w:style w:type="paragraph" w:styleId="BalloonText">
    <w:name w:val="Balloon Text"/>
    <w:basedOn w:val="Normal"/>
    <w:link w:val="BalloonTextChar"/>
    <w:uiPriority w:val="99"/>
    <w:semiHidden/>
    <w:unhideWhenUsed/>
    <w:rsid w:val="00C60D71"/>
    <w:rPr>
      <w:rFonts w:ascii="Tahoma" w:hAnsi="Tahoma" w:cs="Tahoma"/>
      <w:sz w:val="16"/>
      <w:szCs w:val="16"/>
    </w:rPr>
  </w:style>
  <w:style w:type="character" w:customStyle="1" w:styleId="BalloonTextChar">
    <w:name w:val="Balloon Text Char"/>
    <w:basedOn w:val="DefaultParagraphFont"/>
    <w:link w:val="BalloonText"/>
    <w:uiPriority w:val="99"/>
    <w:semiHidden/>
    <w:rsid w:val="00C60D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60904">
      <w:bodyDiv w:val="1"/>
      <w:marLeft w:val="0"/>
      <w:marRight w:val="0"/>
      <w:marTop w:val="0"/>
      <w:marBottom w:val="0"/>
      <w:divBdr>
        <w:top w:val="none" w:sz="0" w:space="0" w:color="auto"/>
        <w:left w:val="none" w:sz="0" w:space="0" w:color="auto"/>
        <w:bottom w:val="none" w:sz="0" w:space="0" w:color="auto"/>
        <w:right w:val="none" w:sz="0" w:space="0" w:color="auto"/>
      </w:divBdr>
    </w:div>
    <w:div w:id="20496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Office_Excel_Worksheet2.xlsx"/><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package" Target="embeddings/Microsoft_Office_Excel_Worksheet5.xls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5" Type="http://schemas.openxmlformats.org/officeDocument/2006/relationships/package" Target="embeddings/Microsoft_Office_Excel_Worksheet7.xlsx"/><Relationship Id="rId2" Type="http://schemas.openxmlformats.org/officeDocument/2006/relationships/numbering" Target="numbering.xml"/><Relationship Id="rId16" Type="http://schemas.openxmlformats.org/officeDocument/2006/relationships/package" Target="embeddings/Microsoft_Office_Excel_Worksheet3.xlsx"/><Relationship Id="rId20" Type="http://schemas.openxmlformats.org/officeDocument/2006/relationships/image" Target="media/image5.emf"/><Relationship Id="rId29" Type="http://schemas.openxmlformats.org/officeDocument/2006/relationships/package" Target="embeddings/Microsoft_Office_Excel_Worksheet9.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package" Target="embeddings/Microsoft_Office_Excel_Worksheet6.xlsx"/><Relationship Id="rId28" Type="http://schemas.openxmlformats.org/officeDocument/2006/relationships/image" Target="media/image9.emf"/><Relationship Id="rId10" Type="http://schemas.openxmlformats.org/officeDocument/2006/relationships/package" Target="embeddings/Microsoft_Office_Excel_Worksheet1.xlsx"/><Relationship Id="rId19" Type="http://schemas.openxmlformats.org/officeDocument/2006/relationships/package" Target="embeddings/Microsoft_Office_Excel_Worksheet4.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image" Target="media/image6.emf"/><Relationship Id="rId27" Type="http://schemas.openxmlformats.org/officeDocument/2006/relationships/package" Target="embeddings/Microsoft_Office_Excel_Worksheet8.xlsx"/><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F171B-CF59-42D3-9FC4-F0E62C17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Sugar Bun Corporation Berhad</vt:lpstr>
    </vt:vector>
  </TitlesOfParts>
  <Company>Grizli777</Company>
  <LinksUpToDate>false</LinksUpToDate>
  <CharactersWithSpaces>10448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Bun Corporation Berhad</dc:title>
  <dc:creator>AUD7-8</dc:creator>
  <cp:lastModifiedBy>Acer</cp:lastModifiedBy>
  <cp:revision>4</cp:revision>
  <cp:lastPrinted>2014-09-30T07:49:00Z</cp:lastPrinted>
  <dcterms:created xsi:type="dcterms:W3CDTF">2014-09-30T09:14:00Z</dcterms:created>
  <dcterms:modified xsi:type="dcterms:W3CDTF">2014-09-30T09:20:00Z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2013</vt:lpwstr>
  </property>
  <property fmtid="{D5CDD505-2E9C-101B-9397-08002B2CF9AE}" pid="4" name="tabIndex">
    <vt:lpwstr>Q4</vt:lpwstr>
  </property>
  <property fmtid="{D5CDD505-2E9C-101B-9397-08002B2CF9AE}" pid="5" name="workpaperIndex">
    <vt:lpwstr/>
  </property>
</Properties>
</file>